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521F4" w14:textId="3FB2DAC8" w:rsidR="009A3E27" w:rsidRPr="00334BFE" w:rsidRDefault="00734AEC" w:rsidP="005D2A99">
      <w:pPr>
        <w:jc w:val="center"/>
        <w:rPr>
          <w:b/>
          <w:bCs/>
        </w:rPr>
      </w:pPr>
      <w:r w:rsidRPr="00334BFE">
        <w:rPr>
          <w:b/>
          <w:bCs/>
        </w:rPr>
        <w:t xml:space="preserve">MCE </w:t>
      </w:r>
      <w:r w:rsidR="00A62A35" w:rsidRPr="00334BFE">
        <w:rPr>
          <w:b/>
          <w:bCs/>
        </w:rPr>
        <w:t xml:space="preserve">2020 </w:t>
      </w:r>
      <w:r w:rsidRPr="00334BFE">
        <w:rPr>
          <w:b/>
          <w:bCs/>
        </w:rPr>
        <w:t>Open Season</w:t>
      </w:r>
    </w:p>
    <w:p w14:paraId="46A29066" w14:textId="77777777" w:rsidR="009A3E27" w:rsidRPr="00334BFE" w:rsidRDefault="009A3E27" w:rsidP="005D2A99">
      <w:pPr>
        <w:jc w:val="center"/>
        <w:rPr>
          <w:b/>
          <w:bCs/>
        </w:rPr>
      </w:pPr>
    </w:p>
    <w:p w14:paraId="46A9233D" w14:textId="60671F97" w:rsidR="00976FF5" w:rsidRPr="00334BFE" w:rsidRDefault="00734AEC" w:rsidP="00F3434A">
      <w:pPr>
        <w:jc w:val="center"/>
        <w:rPr>
          <w:b/>
          <w:bCs/>
        </w:rPr>
      </w:pPr>
      <w:r w:rsidRPr="00334BFE">
        <w:rPr>
          <w:b/>
          <w:bCs/>
        </w:rPr>
        <w:t>ENERGY STORAGE AGREEMENT TERM SHEET</w:t>
      </w:r>
    </w:p>
    <w:p w14:paraId="61B9BF6A" w14:textId="77777777" w:rsidR="00F3434A" w:rsidRPr="00334BFE" w:rsidRDefault="00F3434A" w:rsidP="00F3434A"/>
    <w:p w14:paraId="2DF120B2" w14:textId="2E2CE48D" w:rsidR="00005184" w:rsidRPr="00334BFE" w:rsidRDefault="00C026F1" w:rsidP="00005184">
      <w:pPr>
        <w:jc w:val="both"/>
        <w:rPr>
          <w:iCs/>
        </w:rPr>
      </w:pPr>
      <w:r w:rsidRPr="00334BFE">
        <w:rPr>
          <w:iCs/>
        </w:rPr>
        <w:t>This term sheet (“</w:t>
      </w:r>
      <w:r w:rsidRPr="00334BFE">
        <w:rPr>
          <w:b/>
          <w:bCs/>
          <w:iCs/>
          <w:u w:val="single"/>
        </w:rPr>
        <w:t>Term Sheet</w:t>
      </w:r>
      <w:r w:rsidRPr="00334BFE">
        <w:rPr>
          <w:iCs/>
        </w:rPr>
        <w:t xml:space="preserve">”) </w:t>
      </w:r>
      <w:r w:rsidR="00EA095E" w:rsidRPr="00334BFE">
        <w:rPr>
          <w:iCs/>
        </w:rPr>
        <w:t xml:space="preserve">is entered into between </w:t>
      </w:r>
      <w:r w:rsidR="00EA095E" w:rsidRPr="00334BFE">
        <w:t>Marin Clean Energy, a California joint powers authority (“</w:t>
      </w:r>
      <w:r w:rsidR="00EA095E" w:rsidRPr="00334BFE">
        <w:rPr>
          <w:b/>
          <w:bCs/>
          <w:u w:val="single"/>
        </w:rPr>
        <w:t>MCE</w:t>
      </w:r>
      <w:r w:rsidR="00EA095E" w:rsidRPr="00334BFE">
        <w:t>” or “</w:t>
      </w:r>
      <w:r w:rsidR="00EA095E" w:rsidRPr="00334BFE">
        <w:rPr>
          <w:b/>
          <w:bCs/>
          <w:u w:val="single"/>
        </w:rPr>
        <w:t>Buyer</w:t>
      </w:r>
      <w:r w:rsidR="00EA095E" w:rsidRPr="00334BFE">
        <w:t>”)</w:t>
      </w:r>
      <w:r w:rsidR="00697F95" w:rsidRPr="00334BFE">
        <w:t xml:space="preserve"> and </w:t>
      </w:r>
      <w:r w:rsidR="00697F95" w:rsidRPr="00334BFE">
        <w:rPr>
          <w:iCs/>
        </w:rPr>
        <w:t>[</w:t>
      </w:r>
      <w:r w:rsidR="00697F95" w:rsidRPr="00334BFE">
        <w:rPr>
          <w:i/>
          <w:highlight w:val="lightGray"/>
        </w:rPr>
        <w:t>INSERT SELLER NAME</w:t>
      </w:r>
      <w:r w:rsidR="00697F95" w:rsidRPr="00334BFE">
        <w:rPr>
          <w:iCs/>
        </w:rPr>
        <w:t xml:space="preserve">] </w:t>
      </w:r>
      <w:r w:rsidR="00697F95" w:rsidRPr="00334BFE">
        <w:rPr>
          <w:lang w:eastAsia="ko-KR"/>
        </w:rPr>
        <w:t>(“</w:t>
      </w:r>
      <w:r w:rsidR="00697F95" w:rsidRPr="00334BFE">
        <w:rPr>
          <w:b/>
          <w:bCs/>
          <w:u w:val="single"/>
          <w:lang w:eastAsia="ko-KR"/>
        </w:rPr>
        <w:t>Seller</w:t>
      </w:r>
      <w:r w:rsidR="00697F95" w:rsidRPr="00334BFE">
        <w:rPr>
          <w:lang w:eastAsia="ko-KR"/>
        </w:rPr>
        <w:t>”)</w:t>
      </w:r>
      <w:r w:rsidR="00EA095E" w:rsidRPr="00334BFE">
        <w:t>, as of [</w:t>
      </w:r>
      <w:r w:rsidR="00EA095E" w:rsidRPr="00334BFE">
        <w:rPr>
          <w:i/>
          <w:iCs/>
          <w:highlight w:val="lightGray"/>
        </w:rPr>
        <w:t>mm/</w:t>
      </w:r>
      <w:r w:rsidR="00356F5F" w:rsidRPr="00356F5F">
        <w:rPr>
          <w:i/>
          <w:iCs/>
          <w:highlight w:val="lightGray"/>
        </w:rPr>
        <w:t xml:space="preserve"> </w:t>
      </w:r>
      <w:r w:rsidR="00356F5F" w:rsidRPr="00334BFE">
        <w:rPr>
          <w:i/>
          <w:iCs/>
          <w:highlight w:val="lightGray"/>
        </w:rPr>
        <w:t>dd/</w:t>
      </w:r>
      <w:r w:rsidR="00EA095E" w:rsidRPr="00334BFE">
        <w:rPr>
          <w:i/>
          <w:iCs/>
          <w:highlight w:val="lightGray"/>
        </w:rPr>
        <w:t>yyyy</w:t>
      </w:r>
      <w:r w:rsidR="00EA095E" w:rsidRPr="00334BFE">
        <w:t>] (the “</w:t>
      </w:r>
      <w:r w:rsidR="00EA095E" w:rsidRPr="00334BFE">
        <w:rPr>
          <w:b/>
          <w:bCs/>
          <w:u w:val="single"/>
        </w:rPr>
        <w:t>Effective Date</w:t>
      </w:r>
      <w:r w:rsidR="00EA095E" w:rsidRPr="00334BFE">
        <w:t xml:space="preserve">”).  </w:t>
      </w:r>
      <w:r w:rsidR="00697F95" w:rsidRPr="00334BFE">
        <w:t>Buyer and Seller are each a “</w:t>
      </w:r>
      <w:r w:rsidR="00697F95" w:rsidRPr="00334BFE">
        <w:rPr>
          <w:b/>
          <w:bCs/>
          <w:u w:val="single"/>
        </w:rPr>
        <w:t>Party</w:t>
      </w:r>
      <w:r w:rsidR="00697F95" w:rsidRPr="00334BFE">
        <w:t>” and, collectively, the “</w:t>
      </w:r>
      <w:r w:rsidR="00697F95" w:rsidRPr="00334BFE">
        <w:rPr>
          <w:b/>
          <w:bCs/>
          <w:u w:val="single"/>
        </w:rPr>
        <w:t>Parties</w:t>
      </w:r>
      <w:r w:rsidR="00697F95" w:rsidRPr="00334BFE">
        <w:t xml:space="preserve">.”  </w:t>
      </w:r>
      <w:r w:rsidR="00EA095E" w:rsidRPr="00334BFE">
        <w:t>This Term Sheet i</w:t>
      </w:r>
      <w:r w:rsidRPr="00334BFE">
        <w:rPr>
          <w:iCs/>
        </w:rPr>
        <w:t xml:space="preserve">ncludes the </w:t>
      </w:r>
      <w:r w:rsidRPr="00334BFE">
        <w:t xml:space="preserve">key commercial terms and conditions to be included in a proposed energy storage agreement </w:t>
      </w:r>
      <w:r w:rsidRPr="00334BFE">
        <w:rPr>
          <w:iCs/>
        </w:rPr>
        <w:t>(the “</w:t>
      </w:r>
      <w:r w:rsidRPr="00334BFE">
        <w:rPr>
          <w:b/>
          <w:bCs/>
          <w:iCs/>
          <w:u w:val="single"/>
        </w:rPr>
        <w:t>ESA</w:t>
      </w:r>
      <w:r w:rsidRPr="00334BFE">
        <w:rPr>
          <w:iCs/>
        </w:rPr>
        <w:t xml:space="preserve">”) </w:t>
      </w:r>
      <w:r w:rsidRPr="00334BFE">
        <w:t>for certain energy storage services (</w:t>
      </w:r>
      <w:r w:rsidR="00A1174F" w:rsidRPr="00334BFE">
        <w:t xml:space="preserve">the </w:t>
      </w:r>
      <w:r w:rsidRPr="00334BFE">
        <w:t>“</w:t>
      </w:r>
      <w:r w:rsidRPr="00334BFE">
        <w:rPr>
          <w:b/>
          <w:bCs/>
          <w:u w:val="single"/>
        </w:rPr>
        <w:t>Proposed Transaction</w:t>
      </w:r>
      <w:r w:rsidRPr="00334BFE">
        <w:t xml:space="preserve">”) </w:t>
      </w:r>
      <w:r w:rsidRPr="00334BFE">
        <w:rPr>
          <w:iCs/>
        </w:rPr>
        <w:t xml:space="preserve">to be negotiated between Seller and Buyer </w:t>
      </w:r>
      <w:r w:rsidRPr="00334BFE">
        <w:t>in connection with the MCE</w:t>
      </w:r>
      <w:r w:rsidR="00A62A35" w:rsidRPr="00334BFE">
        <w:t xml:space="preserve"> 2020</w:t>
      </w:r>
      <w:r w:rsidRPr="00334BFE">
        <w:t xml:space="preserve"> Open Season</w:t>
      </w:r>
      <w:r w:rsidR="001F3217" w:rsidRPr="00334BFE">
        <w:rPr>
          <w:iCs/>
        </w:rPr>
        <w:t xml:space="preserve"> </w:t>
      </w:r>
      <w:r w:rsidRPr="00334BFE">
        <w:rPr>
          <w:iCs/>
        </w:rPr>
        <w:t>(“</w:t>
      </w:r>
      <w:r w:rsidR="00697F95" w:rsidRPr="00334BFE">
        <w:rPr>
          <w:b/>
          <w:bCs/>
          <w:iCs/>
          <w:u w:val="single"/>
        </w:rPr>
        <w:t>Open Season</w:t>
      </w:r>
      <w:r w:rsidRPr="00334BFE">
        <w:rPr>
          <w:iCs/>
        </w:rPr>
        <w:t xml:space="preserve">”).  </w:t>
      </w:r>
      <w:r w:rsidR="0075360A" w:rsidRPr="00334BFE">
        <w:t>Negotiation of the</w:t>
      </w:r>
      <w:r w:rsidR="00B20CE2" w:rsidRPr="00334BFE">
        <w:t xml:space="preserve"> ESA</w:t>
      </w:r>
      <w:r w:rsidR="0075360A" w:rsidRPr="00334BFE">
        <w:t xml:space="preserve"> is subject to</w:t>
      </w:r>
      <w:r w:rsidR="001558F3" w:rsidRPr="00334BFE">
        <w:t xml:space="preserve"> Seller’s selection for </w:t>
      </w:r>
      <w:r w:rsidR="00697F95" w:rsidRPr="00334BFE">
        <w:t>the Open Season s</w:t>
      </w:r>
      <w:r w:rsidR="001558F3" w:rsidRPr="00334BFE">
        <w:t xml:space="preserve">hortlist by Buyer, </w:t>
      </w:r>
      <w:r w:rsidR="0054674B" w:rsidRPr="00334BFE">
        <w:rPr>
          <w:iCs/>
        </w:rPr>
        <w:t xml:space="preserve">the terms and conditions of the </w:t>
      </w:r>
      <w:r w:rsidR="00697F95" w:rsidRPr="00334BFE">
        <w:rPr>
          <w:iCs/>
        </w:rPr>
        <w:t>Open Season</w:t>
      </w:r>
      <w:r w:rsidR="006C211B" w:rsidRPr="00334BFE">
        <w:rPr>
          <w:iCs/>
        </w:rPr>
        <w:t xml:space="preserve">, timely execution of the </w:t>
      </w:r>
      <w:r w:rsidR="0054674B" w:rsidRPr="00334BFE">
        <w:rPr>
          <w:iCs/>
        </w:rPr>
        <w:t xml:space="preserve">Exclusive Negotiating </w:t>
      </w:r>
      <w:r w:rsidR="00AF593A" w:rsidRPr="00334BFE">
        <w:rPr>
          <w:iCs/>
        </w:rPr>
        <w:t>A</w:t>
      </w:r>
      <w:r w:rsidR="0054674B" w:rsidRPr="00334BFE">
        <w:rPr>
          <w:iCs/>
        </w:rPr>
        <w:t>greement (as defined below)</w:t>
      </w:r>
      <w:r w:rsidR="006C211B" w:rsidRPr="00334BFE">
        <w:rPr>
          <w:iCs/>
        </w:rPr>
        <w:t xml:space="preserve"> and </w:t>
      </w:r>
      <w:r w:rsidR="00A1174F" w:rsidRPr="00334BFE">
        <w:rPr>
          <w:iCs/>
        </w:rPr>
        <w:t xml:space="preserve">delivery </w:t>
      </w:r>
      <w:r w:rsidR="006C211B" w:rsidRPr="00334BFE">
        <w:rPr>
          <w:iCs/>
        </w:rPr>
        <w:t>of the Shortlist Deposit</w:t>
      </w:r>
      <w:r w:rsidR="00A1174F" w:rsidRPr="00334BFE">
        <w:rPr>
          <w:iCs/>
        </w:rPr>
        <w:t xml:space="preserve"> </w:t>
      </w:r>
      <w:r w:rsidR="00697F95" w:rsidRPr="00334BFE">
        <w:rPr>
          <w:iCs/>
        </w:rPr>
        <w:t xml:space="preserve">(as defined below) </w:t>
      </w:r>
      <w:r w:rsidR="00A1174F" w:rsidRPr="00334BFE">
        <w:rPr>
          <w:iCs/>
        </w:rPr>
        <w:t>to Buyer</w:t>
      </w:r>
      <w:r w:rsidR="0054674B" w:rsidRPr="00334BFE">
        <w:rPr>
          <w:iCs/>
        </w:rPr>
        <w:t>.</w:t>
      </w:r>
      <w:r w:rsidR="00005184" w:rsidRPr="00334BFE">
        <w:rPr>
          <w:iCs/>
        </w:rPr>
        <w:t xml:space="preserve"> </w:t>
      </w:r>
      <w:r w:rsidR="005A3C26" w:rsidRPr="00334BFE">
        <w:rPr>
          <w:iCs/>
        </w:rPr>
        <w:t xml:space="preserve"> </w:t>
      </w:r>
      <w:r w:rsidR="00E5534B" w:rsidRPr="00334BFE">
        <w:rPr>
          <w:iCs/>
        </w:rPr>
        <w:t xml:space="preserve">Until a definitive agreement </w:t>
      </w:r>
      <w:r w:rsidR="00331144" w:rsidRPr="00334BFE">
        <w:rPr>
          <w:iCs/>
        </w:rPr>
        <w:t xml:space="preserve">is </w:t>
      </w:r>
      <w:r w:rsidR="00E5534B" w:rsidRPr="00334BFE">
        <w:rPr>
          <w:iCs/>
        </w:rPr>
        <w:t xml:space="preserve">approved by </w:t>
      </w:r>
      <w:r w:rsidR="00891F47" w:rsidRPr="00334BFE">
        <w:rPr>
          <w:iCs/>
        </w:rPr>
        <w:t>M</w:t>
      </w:r>
      <w:r w:rsidR="00A9011A" w:rsidRPr="00334BFE">
        <w:rPr>
          <w:iCs/>
        </w:rPr>
        <w:t>CE’s</w:t>
      </w:r>
      <w:r w:rsidR="008F4EDC" w:rsidRPr="00334BFE">
        <w:rPr>
          <w:iCs/>
        </w:rPr>
        <w:t xml:space="preserve"> </w:t>
      </w:r>
      <w:r w:rsidR="00E5534B" w:rsidRPr="00334BFE">
        <w:rPr>
          <w:iCs/>
        </w:rPr>
        <w:t xml:space="preserve">management and Board of Directors, and signed and delivered, no party shall have any legal obligations, expressed or implied, or arising in any other manner, </w:t>
      </w:r>
      <w:r w:rsidR="00697F95" w:rsidRPr="00334BFE">
        <w:rPr>
          <w:iCs/>
        </w:rPr>
        <w:t>to proceed with the Proposed Transaction or the ESA</w:t>
      </w:r>
      <w:r w:rsidR="00456957" w:rsidRPr="00334BFE">
        <w:rPr>
          <w:iCs/>
        </w:rPr>
        <w:t xml:space="preserve">. </w:t>
      </w:r>
      <w:r w:rsidR="000900E3" w:rsidRPr="00334BFE">
        <w:rPr>
          <w:iCs/>
        </w:rPr>
        <w:t xml:space="preserve"> </w:t>
      </w:r>
    </w:p>
    <w:p w14:paraId="3A1C893A" w14:textId="73C95561" w:rsidR="00697F95" w:rsidRPr="00334BFE" w:rsidRDefault="00697F95" w:rsidP="00005184">
      <w:pPr>
        <w:jc w:val="both"/>
        <w:rPr>
          <w:iCs/>
        </w:rPr>
      </w:pPr>
    </w:p>
    <w:p w14:paraId="0DDD5CE2" w14:textId="2009AB79" w:rsidR="00697F95" w:rsidRPr="00334BFE" w:rsidRDefault="00697F95" w:rsidP="00C26A98">
      <w:pPr>
        <w:tabs>
          <w:tab w:val="left" w:pos="720"/>
        </w:tabs>
        <w:jc w:val="both"/>
        <w:rPr>
          <w:iCs/>
        </w:rPr>
      </w:pPr>
      <w:r w:rsidRPr="00334BFE">
        <w:rPr>
          <w:b/>
          <w:bCs/>
          <w:lang w:eastAsia="ko-KR"/>
        </w:rPr>
        <w:t>1.</w:t>
      </w:r>
      <w:r w:rsidRPr="00334BFE">
        <w:rPr>
          <w:b/>
          <w:bCs/>
          <w:lang w:eastAsia="ko-KR"/>
        </w:rPr>
        <w:tab/>
      </w:r>
      <w:r w:rsidRPr="00334BFE">
        <w:rPr>
          <w:b/>
          <w:bCs/>
          <w:u w:val="single"/>
          <w:lang w:eastAsia="ko-KR"/>
        </w:rPr>
        <w:t>Energy Storage Agreement Terms and Conditions</w:t>
      </w:r>
    </w:p>
    <w:p w14:paraId="168028AE" w14:textId="77777777" w:rsidR="00367A2D" w:rsidRPr="00334BFE" w:rsidRDefault="00367A2D" w:rsidP="00F3434A"/>
    <w:tbl>
      <w:tblPr>
        <w:tblStyle w:val="TableGrid"/>
        <w:tblW w:w="0" w:type="auto"/>
        <w:tblCellMar>
          <w:top w:w="58" w:type="dxa"/>
          <w:left w:w="115" w:type="dxa"/>
          <w:bottom w:w="58" w:type="dxa"/>
          <w:right w:w="115" w:type="dxa"/>
        </w:tblCellMar>
        <w:tblLook w:val="04A0" w:firstRow="1" w:lastRow="0" w:firstColumn="1" w:lastColumn="0" w:noHBand="0" w:noVBand="1"/>
      </w:tblPr>
      <w:tblGrid>
        <w:gridCol w:w="3055"/>
        <w:gridCol w:w="6295"/>
      </w:tblGrid>
      <w:tr w:rsidR="00F3434A" w:rsidRPr="00334BFE" w14:paraId="4C0D3CF0" w14:textId="77777777" w:rsidTr="0080155D">
        <w:tc>
          <w:tcPr>
            <w:tcW w:w="3055" w:type="dxa"/>
          </w:tcPr>
          <w:p w14:paraId="67C82573" w14:textId="52998D7E" w:rsidR="00F3434A" w:rsidRPr="00334BFE" w:rsidRDefault="00D7172B" w:rsidP="0060307C">
            <w:pPr>
              <w:spacing w:before="120"/>
              <w:rPr>
                <w:b/>
              </w:rPr>
            </w:pPr>
            <w:r w:rsidRPr="00334BFE">
              <w:rPr>
                <w:b/>
              </w:rPr>
              <w:t>Storage Facility</w:t>
            </w:r>
            <w:r w:rsidR="00F3434A" w:rsidRPr="00334BFE">
              <w:rPr>
                <w:b/>
              </w:rPr>
              <w:t>:</w:t>
            </w:r>
          </w:p>
        </w:tc>
        <w:tc>
          <w:tcPr>
            <w:tcW w:w="6295" w:type="dxa"/>
          </w:tcPr>
          <w:p w14:paraId="635196A6" w14:textId="18F2FBBB" w:rsidR="00F3434A" w:rsidRPr="00334BFE" w:rsidRDefault="005A5B1F" w:rsidP="0098039F">
            <w:pPr>
              <w:spacing w:before="120" w:after="120"/>
              <w:jc w:val="both"/>
            </w:pPr>
            <w:r w:rsidRPr="00334BFE">
              <w:t>“</w:t>
            </w:r>
            <w:r w:rsidR="00D7172B" w:rsidRPr="00334BFE">
              <w:rPr>
                <w:b/>
                <w:bCs/>
                <w:u w:val="single"/>
              </w:rPr>
              <w:t>Storage Facility</w:t>
            </w:r>
            <w:r w:rsidRPr="00334BFE">
              <w:t xml:space="preserve">” means </w:t>
            </w:r>
            <w:r w:rsidR="00A9011A" w:rsidRPr="00334BFE">
              <w:t>[</w:t>
            </w:r>
            <w:r w:rsidR="00A9011A" w:rsidRPr="00334BFE">
              <w:rPr>
                <w:i/>
                <w:iCs/>
                <w:highlight w:val="lightGray"/>
              </w:rPr>
              <w:t>Insert location and description of energy storage facility, and any other relevant identifying details</w:t>
            </w:r>
            <w:r w:rsidR="00267633" w:rsidRPr="00334BFE">
              <w:rPr>
                <w:i/>
                <w:iCs/>
                <w:highlight w:val="lightGray"/>
              </w:rPr>
              <w:t xml:space="preserve">, including technology, e.g., lithium </w:t>
            </w:r>
            <w:r w:rsidR="00267633" w:rsidRPr="00A23101">
              <w:rPr>
                <w:i/>
                <w:iCs/>
                <w:highlight w:val="lightGray"/>
              </w:rPr>
              <w:t>ion</w:t>
            </w:r>
            <w:r w:rsidR="00A9011A" w:rsidRPr="00A23101">
              <w:rPr>
                <w:i/>
                <w:iCs/>
                <w:highlight w:val="lightGray"/>
              </w:rPr>
              <w:t>.</w:t>
            </w:r>
            <w:r w:rsidR="00A9011A" w:rsidRPr="00334BFE">
              <w:t>]</w:t>
            </w:r>
          </w:p>
        </w:tc>
      </w:tr>
      <w:tr w:rsidR="00F3434A" w:rsidRPr="00334BFE" w14:paraId="400BDF85" w14:textId="77777777" w:rsidTr="0080155D">
        <w:tc>
          <w:tcPr>
            <w:tcW w:w="3055" w:type="dxa"/>
          </w:tcPr>
          <w:p w14:paraId="32E7ACD6" w14:textId="3C8033D5" w:rsidR="00F3434A" w:rsidRPr="00334BFE" w:rsidRDefault="00497D78" w:rsidP="0060307C">
            <w:pPr>
              <w:spacing w:before="120"/>
              <w:rPr>
                <w:b/>
              </w:rPr>
            </w:pPr>
            <w:r w:rsidRPr="00334BFE">
              <w:rPr>
                <w:b/>
              </w:rPr>
              <w:t>Storage Capacity</w:t>
            </w:r>
            <w:r w:rsidR="00F3434A" w:rsidRPr="00334BFE">
              <w:rPr>
                <w:b/>
              </w:rPr>
              <w:t>:</w:t>
            </w:r>
          </w:p>
        </w:tc>
        <w:tc>
          <w:tcPr>
            <w:tcW w:w="6295" w:type="dxa"/>
          </w:tcPr>
          <w:p w14:paraId="7BDF494C" w14:textId="2BBB9A27" w:rsidR="006773D3" w:rsidRPr="00334BFE" w:rsidRDefault="00A9011A" w:rsidP="0098039F">
            <w:pPr>
              <w:spacing w:before="120" w:after="120"/>
              <w:jc w:val="both"/>
              <w:rPr>
                <w:vertAlign w:val="subscript"/>
              </w:rPr>
            </w:pPr>
            <w:r w:rsidRPr="00334BFE">
              <w:rPr>
                <w:highlight w:val="lightGray"/>
              </w:rPr>
              <w:t>XX</w:t>
            </w:r>
            <w:r w:rsidR="00BF6FE9" w:rsidRPr="00334BFE">
              <w:t xml:space="preserve"> </w:t>
            </w:r>
            <w:r w:rsidR="00367A2D" w:rsidRPr="00334BFE">
              <w:t>MW</w:t>
            </w:r>
            <w:r w:rsidR="00367A2D" w:rsidRPr="00334BFE">
              <w:rPr>
                <w:vertAlign w:val="subscript"/>
              </w:rPr>
              <w:t>AC</w:t>
            </w:r>
          </w:p>
        </w:tc>
      </w:tr>
      <w:tr w:rsidR="00005184" w:rsidRPr="00334BFE" w14:paraId="69D3AC89" w14:textId="77777777" w:rsidTr="0080155D">
        <w:tc>
          <w:tcPr>
            <w:tcW w:w="3055" w:type="dxa"/>
          </w:tcPr>
          <w:p w14:paraId="228AD559" w14:textId="1D514627" w:rsidR="00005184" w:rsidRPr="00334BFE" w:rsidRDefault="00497D78" w:rsidP="0060307C">
            <w:pPr>
              <w:spacing w:before="120"/>
              <w:rPr>
                <w:b/>
              </w:rPr>
            </w:pPr>
            <w:r w:rsidRPr="00334BFE">
              <w:rPr>
                <w:b/>
              </w:rPr>
              <w:t xml:space="preserve">RA </w:t>
            </w:r>
            <w:r w:rsidR="00005184" w:rsidRPr="00334BFE">
              <w:rPr>
                <w:b/>
              </w:rPr>
              <w:t>Capacity:</w:t>
            </w:r>
          </w:p>
        </w:tc>
        <w:tc>
          <w:tcPr>
            <w:tcW w:w="6295" w:type="dxa"/>
          </w:tcPr>
          <w:p w14:paraId="041D0EF6" w14:textId="51FCFC7D" w:rsidR="00005184" w:rsidRPr="00334BFE" w:rsidRDefault="00A9011A" w:rsidP="0098039F">
            <w:pPr>
              <w:spacing w:before="120" w:after="120"/>
              <w:jc w:val="both"/>
              <w:rPr>
                <w:vertAlign w:val="subscript"/>
              </w:rPr>
            </w:pPr>
            <w:r w:rsidRPr="00334BFE">
              <w:rPr>
                <w:highlight w:val="lightGray"/>
              </w:rPr>
              <w:t>XX</w:t>
            </w:r>
            <w:r w:rsidR="00005184" w:rsidRPr="00334BFE">
              <w:t xml:space="preserve"> MW</w:t>
            </w:r>
            <w:r w:rsidR="00D4733D" w:rsidRPr="00334BFE">
              <w:t xml:space="preserve"> [NQC]</w:t>
            </w:r>
            <w:r w:rsidR="00D4733D" w:rsidRPr="00334BFE">
              <w:rPr>
                <w:vertAlign w:val="subscript"/>
              </w:rPr>
              <w:t xml:space="preserve"> </w:t>
            </w:r>
          </w:p>
        </w:tc>
      </w:tr>
      <w:tr w:rsidR="00183DA9" w:rsidRPr="00334BFE" w14:paraId="07D28E9E" w14:textId="77777777" w:rsidTr="0080155D">
        <w:tc>
          <w:tcPr>
            <w:tcW w:w="3055" w:type="dxa"/>
          </w:tcPr>
          <w:p w14:paraId="54BB2F48" w14:textId="77777777" w:rsidR="00183DA9" w:rsidRPr="00334BFE" w:rsidRDefault="00183DA9" w:rsidP="0060307C">
            <w:pPr>
              <w:spacing w:before="120"/>
              <w:rPr>
                <w:b/>
              </w:rPr>
            </w:pPr>
            <w:r w:rsidRPr="00334BFE">
              <w:rPr>
                <w:b/>
              </w:rPr>
              <w:t xml:space="preserve">Product: </w:t>
            </w:r>
          </w:p>
        </w:tc>
        <w:tc>
          <w:tcPr>
            <w:tcW w:w="6295" w:type="dxa"/>
          </w:tcPr>
          <w:p w14:paraId="376BE86A" w14:textId="0A079552" w:rsidR="00A110E2" w:rsidRPr="00334BFE" w:rsidRDefault="00D7172B" w:rsidP="0098039F">
            <w:pPr>
              <w:spacing w:before="120" w:after="120"/>
              <w:jc w:val="both"/>
            </w:pPr>
            <w:r w:rsidRPr="00334BFE">
              <w:t>“</w:t>
            </w:r>
            <w:r w:rsidR="005A5B1F" w:rsidRPr="00334BFE">
              <w:rPr>
                <w:b/>
                <w:bCs/>
                <w:u w:val="single"/>
              </w:rPr>
              <w:t>Product</w:t>
            </w:r>
            <w:r w:rsidRPr="00334BFE">
              <w:t>”</w:t>
            </w:r>
            <w:r w:rsidR="005A5B1F" w:rsidRPr="00334BFE">
              <w:t xml:space="preserve"> means </w:t>
            </w:r>
            <w:r w:rsidR="00884FF4" w:rsidRPr="00334BFE">
              <w:t>[</w:t>
            </w:r>
            <w:r w:rsidR="00884FF4" w:rsidRPr="00273722">
              <w:rPr>
                <w:i/>
                <w:iCs/>
                <w:highlight w:val="lightGray"/>
              </w:rPr>
              <w:t>Parties to select applicable Product</w:t>
            </w:r>
            <w:r w:rsidR="00334BFE" w:rsidRPr="00334BFE">
              <w:t>]</w:t>
            </w:r>
            <w:r w:rsidR="003B3851" w:rsidRPr="00334BFE">
              <w:t>:</w:t>
            </w:r>
          </w:p>
          <w:p w14:paraId="6C47A64B" w14:textId="01D684A6" w:rsidR="00281AB5" w:rsidRPr="00334BFE" w:rsidRDefault="00F112B5" w:rsidP="0098039F">
            <w:pPr>
              <w:spacing w:before="120" w:after="120"/>
              <w:jc w:val="both"/>
              <w:rPr>
                <w:bCs/>
                <w:iCs/>
              </w:rPr>
            </w:pPr>
            <w:sdt>
              <w:sdtPr>
                <w:rPr>
                  <w:sz w:val="23"/>
                  <w:szCs w:val="23"/>
                </w:rPr>
                <w:id w:val="-377467685"/>
                <w14:checkbox>
                  <w14:checked w14:val="0"/>
                  <w14:checkedState w14:val="2612" w14:font="MS Gothic"/>
                  <w14:uncheckedState w14:val="2610" w14:font="MS Gothic"/>
                </w14:checkbox>
              </w:sdtPr>
              <w:sdtEndPr/>
              <w:sdtContent>
                <w:r w:rsidR="00A23101">
                  <w:rPr>
                    <w:rFonts w:ascii="MS Gothic" w:eastAsia="MS Gothic" w:hAnsi="MS Gothic" w:hint="eastAsia"/>
                    <w:sz w:val="23"/>
                    <w:szCs w:val="23"/>
                  </w:rPr>
                  <w:t>☐</w:t>
                </w:r>
              </w:sdtContent>
            </w:sdt>
            <w:r w:rsidR="00A23101">
              <w:rPr>
                <w:sz w:val="23"/>
                <w:szCs w:val="23"/>
              </w:rPr>
              <w:t xml:space="preserve"> </w:t>
            </w:r>
            <w:r w:rsidR="00535F5E" w:rsidRPr="00334BFE">
              <w:rPr>
                <w:u w:val="single"/>
              </w:rPr>
              <w:t>Storage Product</w:t>
            </w:r>
            <w:r w:rsidR="00535F5E" w:rsidRPr="00334BFE">
              <w:t xml:space="preserve"> </w:t>
            </w:r>
            <w:r w:rsidR="00A34FB1" w:rsidRPr="00334BFE">
              <w:t xml:space="preserve">– includes </w:t>
            </w:r>
            <w:r w:rsidR="005A5B1F" w:rsidRPr="00334BFE">
              <w:t xml:space="preserve">all energy, capacity, </w:t>
            </w:r>
            <w:r w:rsidR="004C6950" w:rsidRPr="00334BFE">
              <w:t>Resource Adequacy Benefits</w:t>
            </w:r>
            <w:r w:rsidR="005A5B1F" w:rsidRPr="00334BFE">
              <w:t xml:space="preserve">, </w:t>
            </w:r>
            <w:r w:rsidR="00B12CBE" w:rsidRPr="00334BFE">
              <w:t xml:space="preserve">and </w:t>
            </w:r>
            <w:r w:rsidR="005A5B1F" w:rsidRPr="00334BFE">
              <w:t xml:space="preserve">ancillary services produced by </w:t>
            </w:r>
            <w:r w:rsidR="004C6950" w:rsidRPr="00334BFE">
              <w:t xml:space="preserve">or associated with </w:t>
            </w:r>
            <w:r w:rsidR="005A5B1F" w:rsidRPr="00334BFE">
              <w:t xml:space="preserve">the </w:t>
            </w:r>
            <w:r w:rsidR="00D7172B" w:rsidRPr="00334BFE">
              <w:t>Storage Facility</w:t>
            </w:r>
            <w:r w:rsidR="00093D80">
              <w:t>.</w:t>
            </w:r>
            <w:r w:rsidR="007D2545" w:rsidRPr="00334BFE">
              <w:rPr>
                <w:bCs/>
                <w:i/>
              </w:rPr>
              <w:t xml:space="preserve"> </w:t>
            </w:r>
            <w:r w:rsidR="00093D80">
              <w:rPr>
                <w:bCs/>
                <w:i/>
              </w:rPr>
              <w:t xml:space="preserve"> </w:t>
            </w:r>
            <w:r w:rsidR="00093D80" w:rsidRPr="00334BFE">
              <w:t>“</w:t>
            </w:r>
            <w:r w:rsidR="00093D80" w:rsidRPr="00334BFE">
              <w:rPr>
                <w:b/>
                <w:u w:val="single"/>
              </w:rPr>
              <w:t>Resource Adequacy Benefits</w:t>
            </w:r>
            <w:r w:rsidR="00093D80" w:rsidRPr="00334BFE">
              <w:t xml:space="preserve">” means the rights and privileges attached to the Storage Facility that satisfy any entity’s resource adequacy obligations, and includes any local, zonal or otherwise locational attributes associated with the Storage Facility, in addition to flex attributes.  </w:t>
            </w:r>
          </w:p>
          <w:p w14:paraId="18080C74" w14:textId="28AC5203" w:rsidR="00281AB5" w:rsidRPr="00334BFE" w:rsidRDefault="00F112B5" w:rsidP="007726C0">
            <w:pPr>
              <w:spacing w:before="120" w:after="120"/>
              <w:jc w:val="both"/>
              <w:rPr>
                <w:bCs/>
                <w:iCs/>
              </w:rPr>
            </w:pPr>
            <w:sdt>
              <w:sdtPr>
                <w:rPr>
                  <w:sz w:val="23"/>
                  <w:szCs w:val="23"/>
                </w:rPr>
                <w:id w:val="503631823"/>
                <w14:checkbox>
                  <w14:checked w14:val="0"/>
                  <w14:checkedState w14:val="2612" w14:font="MS Gothic"/>
                  <w14:uncheckedState w14:val="2610" w14:font="MS Gothic"/>
                </w14:checkbox>
              </w:sdtPr>
              <w:sdtEndPr/>
              <w:sdtContent>
                <w:r w:rsidR="00A23101">
                  <w:rPr>
                    <w:rFonts w:ascii="MS Gothic" w:eastAsia="MS Gothic" w:hAnsi="MS Gothic" w:hint="eastAsia"/>
                    <w:sz w:val="23"/>
                    <w:szCs w:val="23"/>
                  </w:rPr>
                  <w:t>☐</w:t>
                </w:r>
              </w:sdtContent>
            </w:sdt>
            <w:r w:rsidR="00A23101">
              <w:t xml:space="preserve"> </w:t>
            </w:r>
            <w:r w:rsidR="00A110E2" w:rsidRPr="00334BFE">
              <w:rPr>
                <w:bCs/>
                <w:iCs/>
                <w:u w:val="single"/>
              </w:rPr>
              <w:t>RA Product</w:t>
            </w:r>
            <w:r w:rsidR="00AE2EBA" w:rsidRPr="00334BFE">
              <w:rPr>
                <w:bCs/>
                <w:iCs/>
              </w:rPr>
              <w:t xml:space="preserve"> </w:t>
            </w:r>
            <w:r w:rsidR="00B12CBE" w:rsidRPr="00334BFE">
              <w:rPr>
                <w:bCs/>
                <w:iCs/>
              </w:rPr>
              <w:t xml:space="preserve">– includes </w:t>
            </w:r>
            <w:r w:rsidR="00A3782C" w:rsidRPr="00334BFE">
              <w:rPr>
                <w:bCs/>
                <w:iCs/>
              </w:rPr>
              <w:t>R</w:t>
            </w:r>
            <w:r w:rsidR="00B12CBE" w:rsidRPr="00334BFE">
              <w:rPr>
                <w:bCs/>
                <w:iCs/>
              </w:rPr>
              <w:t xml:space="preserve">esource </w:t>
            </w:r>
            <w:r w:rsidR="00A3782C" w:rsidRPr="00334BFE">
              <w:rPr>
                <w:bCs/>
                <w:iCs/>
              </w:rPr>
              <w:t>A</w:t>
            </w:r>
            <w:r w:rsidR="00B12CBE" w:rsidRPr="00334BFE">
              <w:rPr>
                <w:bCs/>
                <w:iCs/>
              </w:rPr>
              <w:t xml:space="preserve">dequacy </w:t>
            </w:r>
            <w:r w:rsidR="00A3782C" w:rsidRPr="00334BFE">
              <w:rPr>
                <w:bCs/>
                <w:iCs/>
              </w:rPr>
              <w:t>B</w:t>
            </w:r>
            <w:r w:rsidR="00B12CBE" w:rsidRPr="00334BFE">
              <w:rPr>
                <w:bCs/>
                <w:iCs/>
              </w:rPr>
              <w:t>enefits</w:t>
            </w:r>
            <w:r w:rsidR="00E703A8" w:rsidRPr="00334BFE">
              <w:rPr>
                <w:bCs/>
                <w:iCs/>
              </w:rPr>
              <w:t xml:space="preserve"> only</w:t>
            </w:r>
            <w:r w:rsidR="002203DC" w:rsidRPr="00334BFE">
              <w:rPr>
                <w:bCs/>
                <w:iCs/>
              </w:rPr>
              <w:t>.</w:t>
            </w:r>
            <w:r w:rsidR="00832FDC" w:rsidRPr="00334BFE">
              <w:rPr>
                <w:bCs/>
                <w:iCs/>
              </w:rPr>
              <w:t xml:space="preserve"> </w:t>
            </w:r>
          </w:p>
        </w:tc>
      </w:tr>
      <w:tr w:rsidR="00C26A98" w:rsidRPr="00334BFE" w14:paraId="7BE85FEA" w14:textId="77777777" w:rsidTr="0080155D">
        <w:tc>
          <w:tcPr>
            <w:tcW w:w="3055" w:type="dxa"/>
          </w:tcPr>
          <w:p w14:paraId="11C39960" w14:textId="1A281BFA" w:rsidR="00C26A98" w:rsidRPr="00334BFE" w:rsidRDefault="000469C3" w:rsidP="00C26A98">
            <w:pPr>
              <w:spacing w:before="120"/>
              <w:rPr>
                <w:b/>
              </w:rPr>
            </w:pPr>
            <w:r w:rsidRPr="00334BFE">
              <w:rPr>
                <w:b/>
              </w:rPr>
              <w:t>Contract</w:t>
            </w:r>
            <w:r w:rsidR="00C26A98" w:rsidRPr="00334BFE">
              <w:rPr>
                <w:b/>
              </w:rPr>
              <w:t xml:space="preserve"> Price:</w:t>
            </w:r>
          </w:p>
        </w:tc>
        <w:tc>
          <w:tcPr>
            <w:tcW w:w="6295" w:type="dxa"/>
          </w:tcPr>
          <w:p w14:paraId="7F00AEA9" w14:textId="5EB9A24C" w:rsidR="00334BFE" w:rsidRPr="00334BFE" w:rsidRDefault="00CB174B" w:rsidP="0098039F">
            <w:pPr>
              <w:spacing w:before="120" w:after="120"/>
              <w:jc w:val="both"/>
            </w:pPr>
            <w:r w:rsidRPr="00334BFE">
              <w:rPr>
                <w:u w:val="single"/>
              </w:rPr>
              <w:t>Storage Product</w:t>
            </w:r>
            <w:r w:rsidRPr="00334BFE">
              <w:t xml:space="preserve">:  </w:t>
            </w:r>
            <w:r w:rsidR="00C26A98" w:rsidRPr="00334BFE">
              <w:t>$[</w:t>
            </w:r>
            <w:r w:rsidR="00C26A98" w:rsidRPr="00334BFE">
              <w:rPr>
                <w:highlight w:val="lightGray"/>
                <w:lang w:eastAsia="ko-KR"/>
              </w:rPr>
              <w:t>XX</w:t>
            </w:r>
            <w:r w:rsidR="00C26A98" w:rsidRPr="00334BFE">
              <w:t>]/kW-month of Storage Capacity</w:t>
            </w:r>
            <w:r w:rsidR="005C5C58" w:rsidRPr="00334BFE">
              <w:rPr>
                <w:color w:val="000000" w:themeColor="text1"/>
              </w:rPr>
              <w:t>, as adjusted for the Storage Capacity Test (as set forth in the ESA)</w:t>
            </w:r>
            <w:r w:rsidR="00143C1F" w:rsidRPr="00334BFE">
              <w:rPr>
                <w:color w:val="000000" w:themeColor="text1"/>
              </w:rPr>
              <w:t xml:space="preserve">, multiplied by the </w:t>
            </w:r>
            <w:r w:rsidR="005B45D2" w:rsidRPr="00334BFE">
              <w:rPr>
                <w:color w:val="000000" w:themeColor="text1"/>
              </w:rPr>
              <w:t>actual round-trip efficiency,</w:t>
            </w:r>
            <w:r w:rsidR="005C5C58" w:rsidRPr="00334BFE">
              <w:rPr>
                <w:color w:val="000000" w:themeColor="text1"/>
              </w:rPr>
              <w:t xml:space="preserve"> and subject to the Availability Adjustment</w:t>
            </w:r>
            <w:r w:rsidR="005C5C58" w:rsidRPr="00334BFE">
              <w:t xml:space="preserve">.  </w:t>
            </w:r>
          </w:p>
          <w:p w14:paraId="17DFB325" w14:textId="3BC84448" w:rsidR="00C26A98" w:rsidRPr="00334BFE" w:rsidRDefault="00CB174B" w:rsidP="00E703A8">
            <w:pPr>
              <w:spacing w:before="120" w:after="120"/>
              <w:jc w:val="both"/>
              <w:rPr>
                <w:b/>
                <w:bCs/>
                <w:u w:val="single"/>
              </w:rPr>
            </w:pPr>
            <w:r w:rsidRPr="00334BFE">
              <w:rPr>
                <w:u w:val="single"/>
              </w:rPr>
              <w:lastRenderedPageBreak/>
              <w:t>RA Product</w:t>
            </w:r>
            <w:r w:rsidRPr="00334BFE">
              <w:t xml:space="preserve">:  </w:t>
            </w:r>
            <w:r w:rsidR="004F6EFB" w:rsidRPr="00334BFE">
              <w:t>$[</w:t>
            </w:r>
            <w:r w:rsidR="004F6EFB" w:rsidRPr="00334BFE">
              <w:rPr>
                <w:highlight w:val="lightGray"/>
                <w:lang w:eastAsia="ko-KR"/>
              </w:rPr>
              <w:t>XX</w:t>
            </w:r>
            <w:r w:rsidR="004F6EFB" w:rsidRPr="00334BFE">
              <w:t xml:space="preserve">]/kW-month of </w:t>
            </w:r>
            <w:r w:rsidR="00BF6A0A" w:rsidRPr="00334BFE">
              <w:t xml:space="preserve">delivered </w:t>
            </w:r>
            <w:r w:rsidR="004F6EFB" w:rsidRPr="00334BFE">
              <w:t>RA Capacity</w:t>
            </w:r>
            <w:r w:rsidRPr="00334BFE">
              <w:t>.</w:t>
            </w:r>
          </w:p>
        </w:tc>
      </w:tr>
      <w:tr w:rsidR="00005184" w:rsidRPr="00334BFE" w14:paraId="6C52B014" w14:textId="77777777" w:rsidTr="0080155D">
        <w:tc>
          <w:tcPr>
            <w:tcW w:w="3055" w:type="dxa"/>
          </w:tcPr>
          <w:p w14:paraId="03E7FC22" w14:textId="77777777" w:rsidR="00005184" w:rsidRPr="00334BFE" w:rsidRDefault="00005184" w:rsidP="0060307C">
            <w:pPr>
              <w:spacing w:before="120"/>
              <w:rPr>
                <w:b/>
              </w:rPr>
            </w:pPr>
            <w:r w:rsidRPr="00334BFE">
              <w:rPr>
                <w:b/>
              </w:rPr>
              <w:lastRenderedPageBreak/>
              <w:t>Delivery Term:</w:t>
            </w:r>
          </w:p>
        </w:tc>
        <w:tc>
          <w:tcPr>
            <w:tcW w:w="6295" w:type="dxa"/>
          </w:tcPr>
          <w:p w14:paraId="75C04637" w14:textId="500F17E7" w:rsidR="00005184" w:rsidRPr="00334BFE" w:rsidRDefault="00A1174F" w:rsidP="0098039F">
            <w:pPr>
              <w:spacing w:before="120" w:after="120"/>
              <w:jc w:val="both"/>
            </w:pPr>
            <w:r w:rsidRPr="00334BFE">
              <w:rPr>
                <w:highlight w:val="lightGray"/>
                <w:u w:val="single"/>
              </w:rPr>
              <w:t>XX</w:t>
            </w:r>
            <w:r w:rsidR="00C828E8" w:rsidRPr="00334BFE">
              <w:t xml:space="preserve"> </w:t>
            </w:r>
            <w:r w:rsidR="00005184" w:rsidRPr="00334BFE">
              <w:t xml:space="preserve">Contract Years from the </w:t>
            </w:r>
            <w:r w:rsidR="00BF2F1E" w:rsidRPr="00334BFE">
              <w:t xml:space="preserve">Delivery Term </w:t>
            </w:r>
            <w:r w:rsidR="00005184" w:rsidRPr="00334BFE">
              <w:t>Start Date, with each 12</w:t>
            </w:r>
            <w:r w:rsidR="00D70B44">
              <w:t>-</w:t>
            </w:r>
            <w:r w:rsidR="00005184" w:rsidRPr="00334BFE">
              <w:t xml:space="preserve">month period following the </w:t>
            </w:r>
            <w:r w:rsidR="00BF2F1E" w:rsidRPr="00334BFE">
              <w:t xml:space="preserve">Delivery Term </w:t>
            </w:r>
            <w:r w:rsidR="00005184" w:rsidRPr="00334BFE">
              <w:t>Start Date considered a “</w:t>
            </w:r>
            <w:r w:rsidR="00005184" w:rsidRPr="00334BFE">
              <w:rPr>
                <w:b/>
                <w:bCs/>
                <w:u w:val="single"/>
              </w:rPr>
              <w:t>Contract Year</w:t>
            </w:r>
            <w:r w:rsidR="00005184" w:rsidRPr="00334BFE">
              <w:t>.”</w:t>
            </w:r>
          </w:p>
        </w:tc>
      </w:tr>
      <w:tr w:rsidR="000E71CB" w:rsidRPr="00334BFE" w14:paraId="42D5E4D3" w14:textId="77777777" w:rsidTr="0080155D">
        <w:tc>
          <w:tcPr>
            <w:tcW w:w="3055" w:type="dxa"/>
          </w:tcPr>
          <w:p w14:paraId="3B39D219" w14:textId="71B3E2F6" w:rsidR="000E71CB" w:rsidRPr="00334BFE" w:rsidRDefault="000E71CB" w:rsidP="0060307C">
            <w:pPr>
              <w:spacing w:before="120"/>
              <w:rPr>
                <w:b/>
              </w:rPr>
            </w:pPr>
            <w:r w:rsidRPr="00334BFE">
              <w:rPr>
                <w:b/>
              </w:rPr>
              <w:t>Interconnection Point</w:t>
            </w:r>
            <w:r w:rsidR="004C21D8" w:rsidRPr="00334BFE">
              <w:rPr>
                <w:b/>
              </w:rPr>
              <w:t>:</w:t>
            </w:r>
          </w:p>
        </w:tc>
        <w:tc>
          <w:tcPr>
            <w:tcW w:w="6295" w:type="dxa"/>
          </w:tcPr>
          <w:p w14:paraId="343DD30A" w14:textId="1D2B6F51" w:rsidR="000E71CB" w:rsidRPr="00334BFE" w:rsidRDefault="00AD12F8" w:rsidP="0098039F">
            <w:pPr>
              <w:spacing w:before="120" w:after="120"/>
              <w:jc w:val="both"/>
            </w:pPr>
            <w:r w:rsidRPr="00334BFE">
              <w:t xml:space="preserve">The </w:t>
            </w:r>
            <w:r w:rsidR="00D7172B" w:rsidRPr="00334BFE">
              <w:t>Storage Facility</w:t>
            </w:r>
            <w:r w:rsidRPr="00334BFE">
              <w:t xml:space="preserve"> shall interconnect to [</w:t>
            </w:r>
            <w:r w:rsidRPr="00334BFE">
              <w:rPr>
                <w:i/>
                <w:highlight w:val="lightGray"/>
              </w:rPr>
              <w:t>e.g., XX substation</w:t>
            </w:r>
            <w:r w:rsidRPr="00334BFE">
              <w:t>] (the “</w:t>
            </w:r>
            <w:r w:rsidRPr="00334BFE">
              <w:rPr>
                <w:b/>
                <w:u w:val="single"/>
              </w:rPr>
              <w:t>Interconnection Point</w:t>
            </w:r>
            <w:r w:rsidRPr="00334BFE">
              <w:t xml:space="preserve">”). Seller shall be responsible for all costs of interconnecting the </w:t>
            </w:r>
            <w:r w:rsidR="00D7172B" w:rsidRPr="00334BFE">
              <w:t>Storage Facility</w:t>
            </w:r>
            <w:r w:rsidRPr="00334BFE">
              <w:t xml:space="preserve"> to the Interconnection Point.</w:t>
            </w:r>
          </w:p>
        </w:tc>
      </w:tr>
      <w:tr w:rsidR="00267633" w:rsidRPr="00334BFE" w14:paraId="0205AC56" w14:textId="77777777" w:rsidTr="0080155D">
        <w:tc>
          <w:tcPr>
            <w:tcW w:w="3055" w:type="dxa"/>
          </w:tcPr>
          <w:p w14:paraId="22B8435A" w14:textId="77777777" w:rsidR="00267633" w:rsidRPr="00334BFE" w:rsidRDefault="00267633" w:rsidP="00267633">
            <w:pPr>
              <w:spacing w:before="120"/>
              <w:rPr>
                <w:b/>
              </w:rPr>
            </w:pPr>
            <w:r w:rsidRPr="00334BFE">
              <w:rPr>
                <w:b/>
              </w:rPr>
              <w:t>Delivery Point:</w:t>
            </w:r>
          </w:p>
        </w:tc>
        <w:tc>
          <w:tcPr>
            <w:tcW w:w="6295" w:type="dxa"/>
          </w:tcPr>
          <w:p w14:paraId="3A30ED20" w14:textId="7FAB259C" w:rsidR="00267633" w:rsidRPr="00334BFE" w:rsidRDefault="00267633" w:rsidP="0098039F">
            <w:pPr>
              <w:spacing w:before="120" w:after="120"/>
              <w:jc w:val="both"/>
            </w:pPr>
            <w:r w:rsidRPr="00334BFE">
              <w:t>“</w:t>
            </w:r>
            <w:r w:rsidRPr="00334BFE">
              <w:rPr>
                <w:b/>
                <w:u w:val="single"/>
              </w:rPr>
              <w:t>Delivery Point</w:t>
            </w:r>
            <w:r w:rsidRPr="00334BFE">
              <w:t>” means [</w:t>
            </w:r>
            <w:r w:rsidRPr="00334BFE">
              <w:rPr>
                <w:highlight w:val="lightGray"/>
              </w:rPr>
              <w:t xml:space="preserve">the </w:t>
            </w:r>
            <w:r w:rsidR="00D7172B" w:rsidRPr="00334BFE">
              <w:rPr>
                <w:highlight w:val="lightGray"/>
              </w:rPr>
              <w:t xml:space="preserve">Storage </w:t>
            </w:r>
            <w:r w:rsidRPr="00334BFE">
              <w:rPr>
                <w:highlight w:val="lightGray"/>
              </w:rPr>
              <w:t>Facility Pnode</w:t>
            </w:r>
            <w:r w:rsidRPr="00334BFE">
              <w:t>] on the CAISO grid.</w:t>
            </w:r>
          </w:p>
        </w:tc>
      </w:tr>
      <w:tr w:rsidR="000469C3" w:rsidRPr="00334BFE" w14:paraId="2F48E607" w14:textId="77777777" w:rsidTr="0080155D">
        <w:tc>
          <w:tcPr>
            <w:tcW w:w="3055" w:type="dxa"/>
          </w:tcPr>
          <w:p w14:paraId="07C07C4A" w14:textId="3D84C1AA" w:rsidR="000469C3" w:rsidRPr="00334BFE" w:rsidRDefault="000469C3" w:rsidP="000469C3">
            <w:pPr>
              <w:spacing w:before="120"/>
              <w:rPr>
                <w:b/>
              </w:rPr>
            </w:pPr>
            <w:r w:rsidRPr="00334BFE">
              <w:rPr>
                <w:b/>
              </w:rPr>
              <w:t>Maximum Storage Level:</w:t>
            </w:r>
          </w:p>
        </w:tc>
        <w:tc>
          <w:tcPr>
            <w:tcW w:w="6295" w:type="dxa"/>
          </w:tcPr>
          <w:p w14:paraId="7E6CCEDD" w14:textId="28F6A9D5" w:rsidR="000469C3" w:rsidRPr="00334BFE" w:rsidRDefault="000469C3" w:rsidP="0098039F">
            <w:pPr>
              <w:spacing w:before="120" w:after="120"/>
              <w:jc w:val="both"/>
            </w:pPr>
            <w:r w:rsidRPr="00334BFE">
              <w:t>[</w:t>
            </w:r>
            <w:r w:rsidRPr="00334BFE">
              <w:rPr>
                <w:highlight w:val="lightGray"/>
                <w:lang w:eastAsia="ko-KR"/>
              </w:rPr>
              <w:t>XX</w:t>
            </w:r>
            <w:r w:rsidRPr="00334BFE">
              <w:t xml:space="preserve">] </w:t>
            </w:r>
            <w:r w:rsidRPr="00334BFE">
              <w:rPr>
                <w:bCs/>
              </w:rPr>
              <w:t>MWh</w:t>
            </w:r>
            <w:r w:rsidR="00C56DED" w:rsidRPr="00334BFE">
              <w:rPr>
                <w:bCs/>
              </w:rPr>
              <w:t xml:space="preserve"> </w:t>
            </w:r>
            <w:r w:rsidR="00C56DED" w:rsidRPr="00334BFE">
              <w:t xml:space="preserve">[number </w:t>
            </w:r>
            <w:r w:rsidR="00FD44CC" w:rsidRPr="00334BFE">
              <w:t>in MWh</w:t>
            </w:r>
            <w:r w:rsidR="00490AB1" w:rsidRPr="00334BFE">
              <w:t xml:space="preserve"> </w:t>
            </w:r>
            <w:r w:rsidR="00C56DED" w:rsidRPr="00334BFE">
              <w:t xml:space="preserve">representing </w:t>
            </w:r>
            <w:r w:rsidR="00205714" w:rsidRPr="00334BFE">
              <w:t>maximum</w:t>
            </w:r>
            <w:r w:rsidR="00C56DED" w:rsidRPr="00334BFE">
              <w:t xml:space="preserve"> amount of energy that may be discharged from the Storage Facility]</w:t>
            </w:r>
          </w:p>
        </w:tc>
      </w:tr>
      <w:tr w:rsidR="000469C3" w:rsidRPr="00334BFE" w14:paraId="00A706B1" w14:textId="77777777" w:rsidTr="0080155D">
        <w:tc>
          <w:tcPr>
            <w:tcW w:w="3055" w:type="dxa"/>
          </w:tcPr>
          <w:p w14:paraId="1AAD6A32" w14:textId="73FE3313" w:rsidR="000469C3" w:rsidRPr="00334BFE" w:rsidRDefault="000469C3" w:rsidP="000469C3">
            <w:pPr>
              <w:spacing w:before="120"/>
              <w:rPr>
                <w:b/>
              </w:rPr>
            </w:pPr>
            <w:r w:rsidRPr="00334BFE">
              <w:rPr>
                <w:b/>
              </w:rPr>
              <w:t>Minimum Storage Level:</w:t>
            </w:r>
          </w:p>
        </w:tc>
        <w:tc>
          <w:tcPr>
            <w:tcW w:w="6295" w:type="dxa"/>
          </w:tcPr>
          <w:p w14:paraId="09CFB6DE" w14:textId="7A87FDB4" w:rsidR="000469C3" w:rsidRPr="00334BFE" w:rsidRDefault="000469C3" w:rsidP="0098039F">
            <w:pPr>
              <w:spacing w:before="120" w:after="120"/>
              <w:jc w:val="both"/>
            </w:pPr>
            <w:r w:rsidRPr="00334BFE">
              <w:t>[</w:t>
            </w:r>
            <w:r w:rsidRPr="00334BFE">
              <w:rPr>
                <w:highlight w:val="lightGray"/>
                <w:lang w:eastAsia="ko-KR"/>
              </w:rPr>
              <w:t>XX</w:t>
            </w:r>
            <w:r w:rsidRPr="00334BFE">
              <w:t>] MWh</w:t>
            </w:r>
            <w:r w:rsidR="00C56DED" w:rsidRPr="00334BFE">
              <w:t xml:space="preserve"> </w:t>
            </w:r>
            <w:r w:rsidR="00205714" w:rsidRPr="00334BFE">
              <w:t>[number</w:t>
            </w:r>
            <w:r w:rsidR="00FD44CC" w:rsidRPr="00334BFE">
              <w:t xml:space="preserve"> in MWh </w:t>
            </w:r>
            <w:r w:rsidR="00205714" w:rsidRPr="00334BFE">
              <w:t xml:space="preserve">representing the lowest level to which the </w:t>
            </w:r>
            <w:r w:rsidR="00FD44CC" w:rsidRPr="00334BFE">
              <w:t>Storage Facility may be discharged</w:t>
            </w:r>
            <w:r w:rsidR="00205714" w:rsidRPr="00334BFE">
              <w:t>]</w:t>
            </w:r>
          </w:p>
        </w:tc>
      </w:tr>
      <w:tr w:rsidR="000469C3" w:rsidRPr="00334BFE" w14:paraId="32F9983C" w14:textId="77777777" w:rsidTr="0080155D">
        <w:tc>
          <w:tcPr>
            <w:tcW w:w="3055" w:type="dxa"/>
          </w:tcPr>
          <w:p w14:paraId="77B12BF4" w14:textId="13CD2E6D" w:rsidR="000469C3" w:rsidRPr="00334BFE" w:rsidRDefault="000469C3" w:rsidP="000469C3">
            <w:pPr>
              <w:spacing w:before="120"/>
              <w:rPr>
                <w:b/>
              </w:rPr>
            </w:pPr>
            <w:r w:rsidRPr="00334BFE">
              <w:rPr>
                <w:b/>
              </w:rPr>
              <w:t>Maximum Charging Capacity:</w:t>
            </w:r>
          </w:p>
        </w:tc>
        <w:tc>
          <w:tcPr>
            <w:tcW w:w="6295" w:type="dxa"/>
          </w:tcPr>
          <w:p w14:paraId="62F02CF5" w14:textId="1D253EBA" w:rsidR="000469C3" w:rsidRPr="00334BFE" w:rsidRDefault="000469C3" w:rsidP="0098039F">
            <w:pPr>
              <w:spacing w:before="120" w:after="120"/>
              <w:jc w:val="both"/>
            </w:pPr>
            <w:r w:rsidRPr="00334BFE">
              <w:t>[</w:t>
            </w:r>
            <w:r w:rsidRPr="00334BFE">
              <w:rPr>
                <w:highlight w:val="lightGray"/>
                <w:lang w:eastAsia="ko-KR"/>
              </w:rPr>
              <w:t>XX</w:t>
            </w:r>
            <w:r w:rsidRPr="00334BFE">
              <w:t>] MW</w:t>
            </w:r>
            <w:r w:rsidR="00DB5514" w:rsidRPr="00334BFE">
              <w:t xml:space="preserve"> [number in MW representing the highest level to which the Storage Facility may be charged]</w:t>
            </w:r>
          </w:p>
        </w:tc>
      </w:tr>
      <w:tr w:rsidR="000469C3" w:rsidRPr="00334BFE" w14:paraId="766D5AA3" w14:textId="77777777" w:rsidTr="0080155D">
        <w:tc>
          <w:tcPr>
            <w:tcW w:w="3055" w:type="dxa"/>
          </w:tcPr>
          <w:p w14:paraId="2C51F87C" w14:textId="1D5D0970" w:rsidR="000469C3" w:rsidRPr="00334BFE" w:rsidRDefault="000469C3" w:rsidP="000469C3">
            <w:pPr>
              <w:spacing w:before="120"/>
              <w:rPr>
                <w:b/>
              </w:rPr>
            </w:pPr>
            <w:r w:rsidRPr="00334BFE">
              <w:rPr>
                <w:b/>
              </w:rPr>
              <w:t>Minimum Charging Capacity:</w:t>
            </w:r>
          </w:p>
        </w:tc>
        <w:tc>
          <w:tcPr>
            <w:tcW w:w="6295" w:type="dxa"/>
          </w:tcPr>
          <w:p w14:paraId="5FB679D9" w14:textId="4E5F47A2" w:rsidR="000469C3" w:rsidRPr="00334BFE" w:rsidRDefault="000469C3" w:rsidP="0098039F">
            <w:pPr>
              <w:spacing w:before="120" w:after="120"/>
              <w:jc w:val="both"/>
            </w:pPr>
            <w:r w:rsidRPr="00334BFE">
              <w:t>[</w:t>
            </w:r>
            <w:r w:rsidRPr="00334BFE">
              <w:rPr>
                <w:highlight w:val="lightGray"/>
                <w:lang w:eastAsia="ko-KR"/>
              </w:rPr>
              <w:t>XX</w:t>
            </w:r>
            <w:r w:rsidRPr="00334BFE">
              <w:t>] MW</w:t>
            </w:r>
            <w:r w:rsidR="00DB5514" w:rsidRPr="00334BFE">
              <w:t xml:space="preserve"> [number in MW representing the lowest level </w:t>
            </w:r>
            <w:r w:rsidR="005F1FC7" w:rsidRPr="00334BFE">
              <w:t>at</w:t>
            </w:r>
            <w:r w:rsidR="00DB5514" w:rsidRPr="00334BFE">
              <w:t xml:space="preserve"> which the Storage Facility may be charged]</w:t>
            </w:r>
          </w:p>
        </w:tc>
      </w:tr>
      <w:tr w:rsidR="000469C3" w:rsidRPr="00334BFE" w14:paraId="492E40B0" w14:textId="77777777" w:rsidTr="0080155D">
        <w:tc>
          <w:tcPr>
            <w:tcW w:w="3055" w:type="dxa"/>
          </w:tcPr>
          <w:p w14:paraId="5C3B1321" w14:textId="4D0CD576" w:rsidR="000469C3" w:rsidRPr="00334BFE" w:rsidRDefault="000469C3" w:rsidP="000469C3">
            <w:pPr>
              <w:spacing w:before="120"/>
              <w:rPr>
                <w:b/>
              </w:rPr>
            </w:pPr>
            <w:r w:rsidRPr="00334BFE">
              <w:rPr>
                <w:b/>
              </w:rPr>
              <w:t>Maximum Discharging Capacity:</w:t>
            </w:r>
          </w:p>
        </w:tc>
        <w:tc>
          <w:tcPr>
            <w:tcW w:w="6295" w:type="dxa"/>
          </w:tcPr>
          <w:p w14:paraId="6159B2D3" w14:textId="22CBB108" w:rsidR="000469C3" w:rsidRPr="00334BFE" w:rsidRDefault="000469C3" w:rsidP="0098039F">
            <w:pPr>
              <w:spacing w:before="120" w:after="120"/>
              <w:jc w:val="both"/>
            </w:pPr>
            <w:r w:rsidRPr="00334BFE">
              <w:t>[</w:t>
            </w:r>
            <w:r w:rsidRPr="00334BFE">
              <w:rPr>
                <w:highlight w:val="lightGray"/>
                <w:lang w:eastAsia="ko-KR"/>
              </w:rPr>
              <w:t>XX</w:t>
            </w:r>
            <w:r w:rsidRPr="00334BFE">
              <w:t>] MW</w:t>
            </w:r>
            <w:r w:rsidR="00496E17" w:rsidRPr="00334BFE">
              <w:t xml:space="preserve"> [number in MW representing the highest level at which the Storage Facility may be </w:t>
            </w:r>
            <w:r w:rsidR="009508C8" w:rsidRPr="00334BFE">
              <w:t>dis</w:t>
            </w:r>
            <w:r w:rsidR="00496E17" w:rsidRPr="00334BFE">
              <w:t>charged]</w:t>
            </w:r>
          </w:p>
        </w:tc>
      </w:tr>
      <w:tr w:rsidR="000469C3" w:rsidRPr="00334BFE" w14:paraId="560299C6" w14:textId="77777777" w:rsidTr="0080155D">
        <w:tc>
          <w:tcPr>
            <w:tcW w:w="3055" w:type="dxa"/>
          </w:tcPr>
          <w:p w14:paraId="0E747955" w14:textId="5F032A99" w:rsidR="000469C3" w:rsidRPr="00334BFE" w:rsidRDefault="000469C3" w:rsidP="000469C3">
            <w:pPr>
              <w:spacing w:before="120"/>
              <w:rPr>
                <w:b/>
              </w:rPr>
            </w:pPr>
            <w:r w:rsidRPr="00334BFE">
              <w:rPr>
                <w:b/>
              </w:rPr>
              <w:t>Minimum Discharging Capacity:</w:t>
            </w:r>
          </w:p>
        </w:tc>
        <w:tc>
          <w:tcPr>
            <w:tcW w:w="6295" w:type="dxa"/>
          </w:tcPr>
          <w:p w14:paraId="255F59BE" w14:textId="44616050" w:rsidR="000469C3" w:rsidRPr="00334BFE" w:rsidRDefault="000469C3" w:rsidP="0098039F">
            <w:pPr>
              <w:spacing w:before="120" w:after="120"/>
              <w:jc w:val="both"/>
            </w:pPr>
            <w:r w:rsidRPr="00334BFE">
              <w:t>[</w:t>
            </w:r>
            <w:r w:rsidRPr="00334BFE">
              <w:rPr>
                <w:highlight w:val="lightGray"/>
                <w:lang w:eastAsia="ko-KR"/>
              </w:rPr>
              <w:t>XX</w:t>
            </w:r>
            <w:r w:rsidRPr="00334BFE">
              <w:t>] MW</w:t>
            </w:r>
            <w:r w:rsidR="009508C8" w:rsidRPr="00334BFE">
              <w:t xml:space="preserve"> [number in MW representing the </w:t>
            </w:r>
            <w:r w:rsidR="00C30251" w:rsidRPr="00334BFE">
              <w:t>lowest</w:t>
            </w:r>
            <w:r w:rsidR="009508C8" w:rsidRPr="00334BFE">
              <w:t xml:space="preserve"> level at which the Storage Facility may be discharged]</w:t>
            </w:r>
          </w:p>
        </w:tc>
      </w:tr>
      <w:tr w:rsidR="000469C3" w:rsidRPr="00334BFE" w14:paraId="7B348630" w14:textId="77777777" w:rsidTr="0080155D">
        <w:tc>
          <w:tcPr>
            <w:tcW w:w="3055" w:type="dxa"/>
          </w:tcPr>
          <w:p w14:paraId="627B44CB" w14:textId="106E62E5" w:rsidR="000469C3" w:rsidRPr="00334BFE" w:rsidRDefault="000469C3" w:rsidP="000469C3">
            <w:pPr>
              <w:spacing w:before="120"/>
              <w:rPr>
                <w:b/>
              </w:rPr>
            </w:pPr>
            <w:r w:rsidRPr="00334BFE">
              <w:rPr>
                <w:b/>
              </w:rPr>
              <w:t>Maximum State of Charge (SOC) during Charging:</w:t>
            </w:r>
          </w:p>
        </w:tc>
        <w:tc>
          <w:tcPr>
            <w:tcW w:w="6295" w:type="dxa"/>
          </w:tcPr>
          <w:p w14:paraId="2E0B1BC1" w14:textId="5DB7E129" w:rsidR="000469C3" w:rsidRPr="00334BFE" w:rsidRDefault="000469C3" w:rsidP="0098039F">
            <w:pPr>
              <w:spacing w:before="120" w:after="120"/>
              <w:jc w:val="both"/>
            </w:pPr>
            <w:r w:rsidRPr="00334BFE">
              <w:rPr>
                <w:lang w:eastAsia="ko-KR"/>
              </w:rPr>
              <w:t>100</w:t>
            </w:r>
            <w:r w:rsidRPr="00334BFE">
              <w:t>%</w:t>
            </w:r>
          </w:p>
        </w:tc>
      </w:tr>
      <w:tr w:rsidR="000469C3" w:rsidRPr="00334BFE" w14:paraId="7DF7EC4A" w14:textId="77777777" w:rsidTr="0080155D">
        <w:tc>
          <w:tcPr>
            <w:tcW w:w="3055" w:type="dxa"/>
          </w:tcPr>
          <w:p w14:paraId="290CDFCB" w14:textId="77DAE32C" w:rsidR="000469C3" w:rsidRPr="00334BFE" w:rsidRDefault="000469C3" w:rsidP="000469C3">
            <w:pPr>
              <w:spacing w:before="120"/>
              <w:rPr>
                <w:b/>
              </w:rPr>
            </w:pPr>
            <w:r w:rsidRPr="00334BFE">
              <w:rPr>
                <w:b/>
              </w:rPr>
              <w:t>Minimum State of Charge (SOC) during Discharging:</w:t>
            </w:r>
          </w:p>
        </w:tc>
        <w:tc>
          <w:tcPr>
            <w:tcW w:w="6295" w:type="dxa"/>
          </w:tcPr>
          <w:p w14:paraId="6DF22810" w14:textId="7245D5E1" w:rsidR="000469C3" w:rsidRPr="00334BFE" w:rsidRDefault="000469C3" w:rsidP="0098039F">
            <w:pPr>
              <w:spacing w:before="120" w:after="120"/>
              <w:jc w:val="both"/>
            </w:pPr>
            <w:r w:rsidRPr="00334BFE">
              <w:rPr>
                <w:lang w:eastAsia="ko-KR"/>
              </w:rPr>
              <w:t>0</w:t>
            </w:r>
            <w:r w:rsidRPr="00334BFE">
              <w:t>%</w:t>
            </w:r>
          </w:p>
        </w:tc>
      </w:tr>
      <w:tr w:rsidR="000469C3" w:rsidRPr="00334BFE" w14:paraId="0F6BACE3" w14:textId="77777777" w:rsidTr="0080155D">
        <w:tc>
          <w:tcPr>
            <w:tcW w:w="3055" w:type="dxa"/>
          </w:tcPr>
          <w:p w14:paraId="2B30C41A" w14:textId="68051AE9" w:rsidR="000469C3" w:rsidRPr="00334BFE" w:rsidRDefault="000469C3" w:rsidP="000469C3">
            <w:pPr>
              <w:spacing w:before="120"/>
              <w:rPr>
                <w:b/>
              </w:rPr>
            </w:pPr>
            <w:r w:rsidRPr="00334BFE">
              <w:rPr>
                <w:b/>
              </w:rPr>
              <w:t>Maximum Round-Trip Efficiency:</w:t>
            </w:r>
          </w:p>
        </w:tc>
        <w:tc>
          <w:tcPr>
            <w:tcW w:w="6295" w:type="dxa"/>
          </w:tcPr>
          <w:p w14:paraId="26E6507C" w14:textId="15D163D5" w:rsidR="000469C3" w:rsidRPr="00334BFE" w:rsidRDefault="000469C3" w:rsidP="0098039F">
            <w:pPr>
              <w:spacing w:before="120" w:after="120"/>
              <w:jc w:val="both"/>
            </w:pPr>
            <w:r w:rsidRPr="00334BFE">
              <w:t>[</w:t>
            </w:r>
            <w:r w:rsidR="00B10052" w:rsidRPr="008E1F83">
              <w:rPr>
                <w:highlight w:val="lightGray"/>
              </w:rPr>
              <w:t>peak efficiency of conversion between charging energy and discharging energy (i.e. ratio of maximum charging energy to maximum discharging energy)</w:t>
            </w:r>
            <w:r w:rsidRPr="00334BFE">
              <w:t>] %</w:t>
            </w:r>
          </w:p>
          <w:p w14:paraId="08DFDE9C" w14:textId="7E313D2E" w:rsidR="000469C3" w:rsidRPr="00334BFE" w:rsidRDefault="000469C3" w:rsidP="0098039F">
            <w:pPr>
              <w:spacing w:before="120" w:after="120"/>
              <w:jc w:val="both"/>
            </w:pPr>
            <w:r w:rsidRPr="00334BFE">
              <w:lastRenderedPageBreak/>
              <w:t xml:space="preserve">If actual round-trip efficiency is greater than or equal to Maximum Round-Trip Efficiency, then for purposes of calculating </w:t>
            </w:r>
            <w:r w:rsidR="00D57C42" w:rsidRPr="00334BFE">
              <w:t>the monthly payment amount</w:t>
            </w:r>
            <w:r w:rsidRPr="00334BFE">
              <w:t>, the actual round-trip efficiency will be deemed to be 100%.</w:t>
            </w:r>
          </w:p>
        </w:tc>
      </w:tr>
      <w:tr w:rsidR="000469C3" w:rsidRPr="00334BFE" w14:paraId="6562CF2E" w14:textId="77777777" w:rsidTr="0080155D">
        <w:tc>
          <w:tcPr>
            <w:tcW w:w="3055" w:type="dxa"/>
          </w:tcPr>
          <w:p w14:paraId="4839C763" w14:textId="62C4684B" w:rsidR="000469C3" w:rsidRPr="00334BFE" w:rsidRDefault="000469C3" w:rsidP="000469C3">
            <w:pPr>
              <w:spacing w:before="120"/>
              <w:rPr>
                <w:b/>
              </w:rPr>
            </w:pPr>
            <w:r w:rsidRPr="00334BFE">
              <w:rPr>
                <w:b/>
              </w:rPr>
              <w:lastRenderedPageBreak/>
              <w:t>Minimum Round-Trip Efficiency:</w:t>
            </w:r>
          </w:p>
        </w:tc>
        <w:tc>
          <w:tcPr>
            <w:tcW w:w="6295" w:type="dxa"/>
          </w:tcPr>
          <w:p w14:paraId="23E1E262" w14:textId="41279394" w:rsidR="000469C3" w:rsidRPr="00334BFE" w:rsidRDefault="000469C3" w:rsidP="0098039F">
            <w:pPr>
              <w:spacing w:before="120" w:after="120"/>
              <w:jc w:val="both"/>
            </w:pPr>
            <w:r w:rsidRPr="00334BFE">
              <w:t>[</w:t>
            </w:r>
            <w:r w:rsidR="00721AF7" w:rsidRPr="00334BFE">
              <w:rPr>
                <w:highlight w:val="lightGray"/>
              </w:rPr>
              <w:t>minimum guaranteed efficiency of conversion between charging energy and discharging energy (i.e. ratio of maximum charging energy to maximum discharging energy)</w:t>
            </w:r>
            <w:r w:rsidRPr="00334BFE">
              <w:t>] %</w:t>
            </w:r>
          </w:p>
          <w:p w14:paraId="6BA2F375" w14:textId="507C070E" w:rsidR="000469C3" w:rsidRPr="00334BFE" w:rsidRDefault="000469C3" w:rsidP="0098039F">
            <w:pPr>
              <w:spacing w:before="120" w:after="120"/>
              <w:jc w:val="both"/>
            </w:pPr>
            <w:r w:rsidRPr="00334BFE">
              <w:t xml:space="preserve">If actual round-trip efficiency is less than Minimum Round-Trip Efficiency, then for purposes of calculating </w:t>
            </w:r>
            <w:r w:rsidR="00D57C42" w:rsidRPr="00334BFE">
              <w:t>the monthly payment amount</w:t>
            </w:r>
            <w:r w:rsidRPr="00334BFE">
              <w:t>, the actual round-trip efficiency will be deemed to be 0%.</w:t>
            </w:r>
          </w:p>
        </w:tc>
      </w:tr>
      <w:tr w:rsidR="000469C3" w:rsidRPr="00334BFE" w14:paraId="1A7980B8" w14:textId="77777777" w:rsidTr="0080155D">
        <w:tc>
          <w:tcPr>
            <w:tcW w:w="3055" w:type="dxa"/>
          </w:tcPr>
          <w:p w14:paraId="1AB30555" w14:textId="17642657" w:rsidR="000469C3" w:rsidRPr="00334BFE" w:rsidRDefault="000469C3" w:rsidP="000469C3">
            <w:pPr>
              <w:spacing w:before="120"/>
              <w:rPr>
                <w:b/>
              </w:rPr>
            </w:pPr>
            <w:r w:rsidRPr="00334BFE">
              <w:rPr>
                <w:b/>
              </w:rPr>
              <w:t>Ramp Rate:</w:t>
            </w:r>
          </w:p>
        </w:tc>
        <w:tc>
          <w:tcPr>
            <w:tcW w:w="6295" w:type="dxa"/>
          </w:tcPr>
          <w:p w14:paraId="60E05DC0" w14:textId="781F8FF3" w:rsidR="000469C3" w:rsidRPr="00334BFE" w:rsidRDefault="000469C3" w:rsidP="0098039F">
            <w:pPr>
              <w:spacing w:before="120" w:after="120"/>
              <w:jc w:val="both"/>
            </w:pPr>
            <w:r w:rsidRPr="00334BFE">
              <w:t>[</w:t>
            </w:r>
            <w:r w:rsidRPr="00334BFE">
              <w:rPr>
                <w:highlight w:val="lightGray"/>
                <w:lang w:eastAsia="ko-KR"/>
              </w:rPr>
              <w:t>XX</w:t>
            </w:r>
            <w:r w:rsidRPr="00334BFE">
              <w:t>] MW/minute</w:t>
            </w:r>
          </w:p>
        </w:tc>
      </w:tr>
      <w:tr w:rsidR="000469C3" w:rsidRPr="00334BFE" w14:paraId="22B41FD8" w14:textId="77777777" w:rsidTr="0080155D">
        <w:tc>
          <w:tcPr>
            <w:tcW w:w="3055" w:type="dxa"/>
          </w:tcPr>
          <w:p w14:paraId="424BD0E2" w14:textId="6DE24DE4" w:rsidR="000469C3" w:rsidRPr="00334BFE" w:rsidRDefault="000469C3" w:rsidP="000469C3">
            <w:pPr>
              <w:spacing w:before="120"/>
              <w:rPr>
                <w:b/>
              </w:rPr>
            </w:pPr>
            <w:r w:rsidRPr="00334BFE">
              <w:rPr>
                <w:b/>
              </w:rPr>
              <w:t>Monthly Cycles:</w:t>
            </w:r>
          </w:p>
        </w:tc>
        <w:tc>
          <w:tcPr>
            <w:tcW w:w="6295" w:type="dxa"/>
          </w:tcPr>
          <w:p w14:paraId="71995739" w14:textId="4B78A549" w:rsidR="000469C3" w:rsidRPr="00334BFE" w:rsidRDefault="000469C3" w:rsidP="0098039F">
            <w:pPr>
              <w:spacing w:before="120" w:after="120"/>
              <w:jc w:val="both"/>
            </w:pPr>
            <w:r w:rsidRPr="00334BFE">
              <w:t>[</w:t>
            </w:r>
            <w:r w:rsidRPr="00334BFE">
              <w:rPr>
                <w:highlight w:val="lightGray"/>
                <w:lang w:eastAsia="ko-KR"/>
              </w:rPr>
              <w:t>XX</w:t>
            </w:r>
            <w:r w:rsidRPr="00334BFE">
              <w:t xml:space="preserve">] </w:t>
            </w:r>
            <w:r w:rsidRPr="00334BFE">
              <w:rPr>
                <w:lang w:eastAsia="ko-KR"/>
              </w:rPr>
              <w:t>cycles per month</w:t>
            </w:r>
            <w:r w:rsidRPr="00334BFE">
              <w:t xml:space="preserve"> </w:t>
            </w:r>
          </w:p>
        </w:tc>
      </w:tr>
      <w:tr w:rsidR="000469C3" w:rsidRPr="00334BFE" w14:paraId="3DC274A9" w14:textId="77777777" w:rsidTr="0080155D">
        <w:tc>
          <w:tcPr>
            <w:tcW w:w="3055" w:type="dxa"/>
          </w:tcPr>
          <w:p w14:paraId="733657F0" w14:textId="48259823" w:rsidR="000469C3" w:rsidRPr="00334BFE" w:rsidRDefault="000469C3" w:rsidP="000469C3">
            <w:pPr>
              <w:spacing w:before="120"/>
              <w:rPr>
                <w:b/>
              </w:rPr>
            </w:pPr>
            <w:r w:rsidRPr="00334BFE">
              <w:rPr>
                <w:b/>
              </w:rPr>
              <w:t>Daily Dispatch Limits:</w:t>
            </w:r>
          </w:p>
        </w:tc>
        <w:tc>
          <w:tcPr>
            <w:tcW w:w="6295" w:type="dxa"/>
          </w:tcPr>
          <w:p w14:paraId="654A4696" w14:textId="77777777" w:rsidR="000469C3" w:rsidRPr="00334BFE" w:rsidRDefault="000469C3" w:rsidP="0098039F">
            <w:pPr>
              <w:spacing w:before="120" w:after="120"/>
              <w:jc w:val="both"/>
            </w:pPr>
            <w:r w:rsidRPr="00334BFE">
              <w:t>Charging: [</w:t>
            </w:r>
            <w:r w:rsidRPr="00334BFE">
              <w:rPr>
                <w:highlight w:val="lightGray"/>
                <w:lang w:eastAsia="ko-KR"/>
              </w:rPr>
              <w:t>XX</w:t>
            </w:r>
            <w:r w:rsidRPr="00334BFE">
              <w:rPr>
                <w:lang w:eastAsia="ko-KR"/>
              </w:rPr>
              <w:t xml:space="preserve"> per day</w:t>
            </w:r>
            <w:r w:rsidRPr="00334BFE">
              <w:t>]</w:t>
            </w:r>
          </w:p>
          <w:p w14:paraId="6D82DA75" w14:textId="77777777" w:rsidR="000469C3" w:rsidRPr="00334BFE" w:rsidRDefault="000469C3" w:rsidP="0098039F">
            <w:pPr>
              <w:spacing w:before="120" w:after="120"/>
              <w:jc w:val="both"/>
            </w:pPr>
            <w:r w:rsidRPr="00334BFE">
              <w:t>Discharging: [</w:t>
            </w:r>
            <w:r w:rsidRPr="00334BFE">
              <w:rPr>
                <w:highlight w:val="lightGray"/>
                <w:lang w:eastAsia="ko-KR"/>
              </w:rPr>
              <w:t>XX</w:t>
            </w:r>
            <w:r w:rsidRPr="00334BFE">
              <w:rPr>
                <w:lang w:eastAsia="ko-KR"/>
              </w:rPr>
              <w:t xml:space="preserve"> per day</w:t>
            </w:r>
            <w:r w:rsidRPr="00334BFE">
              <w:t>]</w:t>
            </w:r>
          </w:p>
          <w:p w14:paraId="06D8946B" w14:textId="4A1914AF" w:rsidR="000469C3" w:rsidRPr="00334BFE" w:rsidRDefault="000469C3" w:rsidP="0098039F">
            <w:pPr>
              <w:spacing w:before="120" w:after="120"/>
              <w:jc w:val="both"/>
            </w:pPr>
            <w:r w:rsidRPr="00334BFE">
              <w:t>Partial Charging/Discharging: [</w:t>
            </w:r>
            <w:r w:rsidRPr="00334BFE">
              <w:rPr>
                <w:highlight w:val="lightGray"/>
              </w:rPr>
              <w:t xml:space="preserve">maximum number of times per day Buyer may begin charging or discharging the </w:t>
            </w:r>
            <w:r w:rsidR="00D7172B" w:rsidRPr="00334BFE">
              <w:rPr>
                <w:highlight w:val="lightGray"/>
              </w:rPr>
              <w:t>Storage Facility</w:t>
            </w:r>
            <w:r w:rsidRPr="00334BFE">
              <w:rPr>
                <w:highlight w:val="lightGray"/>
              </w:rPr>
              <w:t xml:space="preserve"> without reaching either the Maximum SOC or Minimum SOC, respectively</w:t>
            </w:r>
            <w:r w:rsidRPr="00334BFE">
              <w:t>]</w:t>
            </w:r>
          </w:p>
        </w:tc>
      </w:tr>
      <w:tr w:rsidR="000469C3" w:rsidRPr="00334BFE" w14:paraId="721965B4" w14:textId="77777777" w:rsidTr="0080155D">
        <w:tc>
          <w:tcPr>
            <w:tcW w:w="3055" w:type="dxa"/>
          </w:tcPr>
          <w:p w14:paraId="68023C2D" w14:textId="35F41368" w:rsidR="000469C3" w:rsidRPr="00334BFE" w:rsidRDefault="000469C3" w:rsidP="000469C3">
            <w:pPr>
              <w:spacing w:before="120"/>
              <w:rPr>
                <w:b/>
              </w:rPr>
            </w:pPr>
            <w:r w:rsidRPr="00334BFE">
              <w:rPr>
                <w:b/>
              </w:rPr>
              <w:t>Maximum Time at Minimum Storage Level:</w:t>
            </w:r>
          </w:p>
        </w:tc>
        <w:tc>
          <w:tcPr>
            <w:tcW w:w="6295" w:type="dxa"/>
          </w:tcPr>
          <w:p w14:paraId="38CB80CF" w14:textId="6F99508C" w:rsidR="000469C3" w:rsidRPr="00334BFE" w:rsidRDefault="000469C3" w:rsidP="0098039F">
            <w:pPr>
              <w:spacing w:before="120" w:after="120"/>
              <w:jc w:val="both"/>
            </w:pPr>
            <w:r w:rsidRPr="00334BFE">
              <w:t>[</w:t>
            </w:r>
            <w:r w:rsidRPr="00334BFE">
              <w:rPr>
                <w:highlight w:val="lightGray"/>
              </w:rPr>
              <w:t>Seller-specified, if applicable</w:t>
            </w:r>
            <w:r w:rsidRPr="00334BFE">
              <w:t>]</w:t>
            </w:r>
          </w:p>
        </w:tc>
      </w:tr>
      <w:tr w:rsidR="000469C3" w:rsidRPr="00334BFE" w14:paraId="55B4A8B6" w14:textId="77777777" w:rsidTr="0080155D">
        <w:tc>
          <w:tcPr>
            <w:tcW w:w="3055" w:type="dxa"/>
          </w:tcPr>
          <w:p w14:paraId="535FA8CB" w14:textId="67B40DE8" w:rsidR="000469C3" w:rsidRPr="00334BFE" w:rsidRDefault="000469C3" w:rsidP="000469C3">
            <w:pPr>
              <w:spacing w:before="120"/>
              <w:rPr>
                <w:b/>
              </w:rPr>
            </w:pPr>
            <w:r w:rsidRPr="00334BFE">
              <w:rPr>
                <w:b/>
              </w:rPr>
              <w:t>Other Operating Limits:</w:t>
            </w:r>
          </w:p>
        </w:tc>
        <w:tc>
          <w:tcPr>
            <w:tcW w:w="6295" w:type="dxa"/>
          </w:tcPr>
          <w:p w14:paraId="17DB5E12" w14:textId="018671A6" w:rsidR="000469C3" w:rsidRPr="00334BFE" w:rsidRDefault="000469C3" w:rsidP="0098039F">
            <w:pPr>
              <w:spacing w:before="120" w:after="120"/>
              <w:jc w:val="both"/>
            </w:pPr>
            <w:r w:rsidRPr="00334BFE">
              <w:t>[</w:t>
            </w:r>
            <w:r w:rsidRPr="00334BFE">
              <w:rPr>
                <w:highlight w:val="lightGray"/>
              </w:rPr>
              <w:t>Seller-specified, if applicable</w:t>
            </w:r>
            <w:r w:rsidRPr="00334BFE">
              <w:t>]</w:t>
            </w:r>
          </w:p>
        </w:tc>
      </w:tr>
      <w:tr w:rsidR="000469C3" w:rsidRPr="00334BFE" w14:paraId="3C9DD9AF" w14:textId="77777777" w:rsidTr="0080155D">
        <w:tc>
          <w:tcPr>
            <w:tcW w:w="3055" w:type="dxa"/>
          </w:tcPr>
          <w:p w14:paraId="0A32705E" w14:textId="23F11A7D" w:rsidR="000469C3" w:rsidRPr="00334BFE" w:rsidRDefault="000469C3" w:rsidP="00D7172B">
            <w:pPr>
              <w:spacing w:before="120"/>
              <w:rPr>
                <w:b/>
              </w:rPr>
            </w:pPr>
            <w:r w:rsidRPr="00334BFE">
              <w:rPr>
                <w:b/>
              </w:rPr>
              <w:t>Ancillary Services Capability:</w:t>
            </w:r>
          </w:p>
        </w:tc>
        <w:tc>
          <w:tcPr>
            <w:tcW w:w="6295" w:type="dxa"/>
          </w:tcPr>
          <w:p w14:paraId="4C0D7DBF" w14:textId="7391F4BD" w:rsidR="000469C3" w:rsidRPr="00334BFE" w:rsidRDefault="000469C3" w:rsidP="0098039F">
            <w:pPr>
              <w:spacing w:before="120" w:after="120"/>
              <w:jc w:val="both"/>
            </w:pPr>
            <w:r w:rsidRPr="00334BFE">
              <w:t>[</w:t>
            </w:r>
            <w:r w:rsidRPr="00334BFE">
              <w:rPr>
                <w:highlight w:val="lightGray"/>
              </w:rPr>
              <w:t>Seller-specified, if applicable</w:t>
            </w:r>
            <w:r w:rsidRPr="00334BFE">
              <w:t>]</w:t>
            </w:r>
          </w:p>
        </w:tc>
      </w:tr>
      <w:tr w:rsidR="000469C3" w:rsidRPr="00334BFE" w14:paraId="13D23F9F" w14:textId="77777777" w:rsidTr="0080155D">
        <w:tc>
          <w:tcPr>
            <w:tcW w:w="3055" w:type="dxa"/>
          </w:tcPr>
          <w:p w14:paraId="0EB4EB7D" w14:textId="4166F3DE" w:rsidR="000469C3" w:rsidRPr="00334BFE" w:rsidRDefault="000469C3" w:rsidP="000469C3">
            <w:pPr>
              <w:spacing w:before="120"/>
              <w:rPr>
                <w:b/>
              </w:rPr>
            </w:pPr>
            <w:r w:rsidRPr="00334BFE">
              <w:rPr>
                <w:b/>
              </w:rPr>
              <w:t>Station Use:</w:t>
            </w:r>
          </w:p>
        </w:tc>
        <w:tc>
          <w:tcPr>
            <w:tcW w:w="6295" w:type="dxa"/>
          </w:tcPr>
          <w:p w14:paraId="4DBAD6E0" w14:textId="58A4FC3F" w:rsidR="000469C3" w:rsidRPr="00334BFE" w:rsidRDefault="000469C3" w:rsidP="0098039F">
            <w:pPr>
              <w:spacing w:before="120" w:after="120"/>
              <w:jc w:val="both"/>
            </w:pPr>
            <w:r w:rsidRPr="00334BFE">
              <w:t xml:space="preserve">Buyer will not be responsible for Station Use and Station Use will not be provided by the </w:t>
            </w:r>
            <w:r w:rsidR="00D7172B" w:rsidRPr="00334BFE">
              <w:t>Storage Facility</w:t>
            </w:r>
            <w:r w:rsidRPr="00334BFE">
              <w:t xml:space="preserve">. </w:t>
            </w:r>
          </w:p>
        </w:tc>
      </w:tr>
      <w:tr w:rsidR="000469C3" w:rsidRPr="00334BFE" w14:paraId="090AF855" w14:textId="77777777" w:rsidTr="0080155D">
        <w:tc>
          <w:tcPr>
            <w:tcW w:w="3055" w:type="dxa"/>
          </w:tcPr>
          <w:p w14:paraId="420E7832" w14:textId="78D2DDA2" w:rsidR="000469C3" w:rsidRPr="00334BFE" w:rsidRDefault="000469C3" w:rsidP="000469C3">
            <w:pPr>
              <w:spacing w:before="120"/>
              <w:rPr>
                <w:b/>
              </w:rPr>
            </w:pPr>
            <w:r w:rsidRPr="00334BFE">
              <w:rPr>
                <w:b/>
              </w:rPr>
              <w:t>Guaranteed Storage Availability:</w:t>
            </w:r>
          </w:p>
        </w:tc>
        <w:tc>
          <w:tcPr>
            <w:tcW w:w="6295" w:type="dxa"/>
          </w:tcPr>
          <w:p w14:paraId="4C8D97B2" w14:textId="18DAED3C" w:rsidR="000469C3" w:rsidRPr="00334BFE" w:rsidRDefault="00307CEF" w:rsidP="0098039F">
            <w:pPr>
              <w:spacing w:before="120" w:after="120"/>
              <w:jc w:val="both"/>
            </w:pPr>
            <w:r w:rsidRPr="00334BFE">
              <w:t>98</w:t>
            </w:r>
            <w:r w:rsidR="000469C3" w:rsidRPr="00334BFE">
              <w:t>%</w:t>
            </w:r>
          </w:p>
          <w:p w14:paraId="4025E690" w14:textId="77777777" w:rsidR="000469C3" w:rsidRPr="00334BFE" w:rsidRDefault="000469C3" w:rsidP="0098039F">
            <w:pPr>
              <w:spacing w:before="120" w:after="120"/>
              <w:jc w:val="both"/>
            </w:pPr>
          </w:p>
        </w:tc>
      </w:tr>
      <w:tr w:rsidR="000469C3" w:rsidRPr="00334BFE" w14:paraId="1853A606" w14:textId="77777777" w:rsidTr="0080155D">
        <w:tc>
          <w:tcPr>
            <w:tcW w:w="3055" w:type="dxa"/>
          </w:tcPr>
          <w:p w14:paraId="04E59C70" w14:textId="6F016DA4" w:rsidR="000469C3" w:rsidRPr="00334BFE" w:rsidRDefault="000469C3" w:rsidP="000469C3">
            <w:pPr>
              <w:spacing w:before="120"/>
              <w:rPr>
                <w:b/>
              </w:rPr>
            </w:pPr>
            <w:r w:rsidRPr="00334BFE">
              <w:rPr>
                <w:b/>
              </w:rPr>
              <w:t>Availability Adjustment:</w:t>
            </w:r>
          </w:p>
        </w:tc>
        <w:tc>
          <w:tcPr>
            <w:tcW w:w="6295" w:type="dxa"/>
          </w:tcPr>
          <w:p w14:paraId="24D80E96" w14:textId="77777777" w:rsidR="000469C3" w:rsidRPr="00334BFE" w:rsidRDefault="000469C3" w:rsidP="0098039F">
            <w:pPr>
              <w:spacing w:before="120" w:after="120"/>
              <w:jc w:val="both"/>
            </w:pPr>
            <w:r w:rsidRPr="00334BFE">
              <w:t>The Availability Adjustment (“</w:t>
            </w:r>
            <w:r w:rsidRPr="00334BFE">
              <w:rPr>
                <w:b/>
                <w:u w:val="single"/>
              </w:rPr>
              <w:t>AA</w:t>
            </w:r>
            <w:r w:rsidRPr="00334BFE">
              <w:t>”), which is calculated as follows:</w:t>
            </w:r>
          </w:p>
          <w:p w14:paraId="0FB45A73" w14:textId="77777777" w:rsidR="000469C3" w:rsidRPr="00334BFE" w:rsidRDefault="000469C3" w:rsidP="0098039F">
            <w:pPr>
              <w:pStyle w:val="ListParagraph"/>
              <w:widowControl w:val="0"/>
              <w:numPr>
                <w:ilvl w:val="0"/>
                <w:numId w:val="39"/>
              </w:numPr>
              <w:spacing w:before="120" w:after="120"/>
              <w:contextualSpacing w:val="0"/>
              <w:jc w:val="both"/>
            </w:pPr>
            <w:r w:rsidRPr="00334BFE">
              <w:t xml:space="preserve">If the monthly storage availability is greater than or </w:t>
            </w:r>
            <w:r w:rsidRPr="00334BFE">
              <w:lastRenderedPageBreak/>
              <w:t xml:space="preserve">equal to the Guaranteed Storage Availability, then: </w:t>
            </w:r>
          </w:p>
          <w:p w14:paraId="14FEABF9" w14:textId="77777777" w:rsidR="000469C3" w:rsidRPr="00334BFE" w:rsidRDefault="000469C3" w:rsidP="0098039F">
            <w:pPr>
              <w:pStyle w:val="ListParagraph"/>
              <w:spacing w:before="120" w:after="120"/>
              <w:ind w:left="1080"/>
              <w:contextualSpacing w:val="0"/>
              <w:jc w:val="both"/>
            </w:pPr>
            <w:r w:rsidRPr="00334BFE">
              <w:t>AA = 100%</w:t>
            </w:r>
          </w:p>
          <w:p w14:paraId="091819CC" w14:textId="77777777" w:rsidR="000469C3" w:rsidRPr="00334BFE" w:rsidRDefault="000469C3" w:rsidP="0098039F">
            <w:pPr>
              <w:pStyle w:val="ListParagraph"/>
              <w:widowControl w:val="0"/>
              <w:numPr>
                <w:ilvl w:val="0"/>
                <w:numId w:val="39"/>
              </w:numPr>
              <w:spacing w:before="120" w:after="120"/>
              <w:contextualSpacing w:val="0"/>
              <w:jc w:val="both"/>
            </w:pPr>
            <w:r w:rsidRPr="00334BFE">
              <w:t xml:space="preserve">If the monthly storage availability is less than the Guaranteed Storage Availability, but greater than or equal to 70%, then: </w:t>
            </w:r>
          </w:p>
          <w:p w14:paraId="7CA24C45" w14:textId="77777777" w:rsidR="000469C3" w:rsidRPr="00334BFE" w:rsidRDefault="000469C3" w:rsidP="0098039F">
            <w:pPr>
              <w:pStyle w:val="ListParagraph"/>
              <w:spacing w:before="120" w:after="120"/>
              <w:ind w:left="1080"/>
              <w:contextualSpacing w:val="0"/>
              <w:jc w:val="both"/>
            </w:pPr>
            <w:r w:rsidRPr="00334BFE">
              <w:t>AA = 100% - [(98% - monthly storage availability) × 2]</w:t>
            </w:r>
          </w:p>
          <w:p w14:paraId="7954F6DD" w14:textId="77777777" w:rsidR="000469C3" w:rsidRPr="00334BFE" w:rsidRDefault="000469C3" w:rsidP="0098039F">
            <w:pPr>
              <w:pStyle w:val="ListParagraph"/>
              <w:widowControl w:val="0"/>
              <w:numPr>
                <w:ilvl w:val="0"/>
                <w:numId w:val="39"/>
              </w:numPr>
              <w:spacing w:before="120" w:after="120"/>
              <w:ind w:left="1051" w:hanging="691"/>
              <w:contextualSpacing w:val="0"/>
              <w:jc w:val="both"/>
            </w:pPr>
            <w:r w:rsidRPr="00334BFE">
              <w:t>If the monthly storage availability is less than 70%, then:</w:t>
            </w:r>
          </w:p>
          <w:p w14:paraId="77AF3A11" w14:textId="4B8F699B" w:rsidR="000469C3" w:rsidRPr="00334BFE" w:rsidRDefault="000469C3" w:rsidP="000B286C">
            <w:pPr>
              <w:spacing w:before="120" w:after="120"/>
              <w:ind w:firstLine="1052"/>
              <w:jc w:val="both"/>
            </w:pPr>
            <w:r w:rsidRPr="00334BFE">
              <w:t>AA = 0</w:t>
            </w:r>
          </w:p>
        </w:tc>
      </w:tr>
      <w:tr w:rsidR="00267633" w:rsidRPr="00334BFE" w14:paraId="5B38B6DB" w14:textId="77777777" w:rsidTr="0080155D">
        <w:tc>
          <w:tcPr>
            <w:tcW w:w="3055" w:type="dxa"/>
          </w:tcPr>
          <w:p w14:paraId="10B264CD" w14:textId="22EF08E0" w:rsidR="00267633" w:rsidRPr="00334BFE" w:rsidRDefault="00267633" w:rsidP="00267633">
            <w:pPr>
              <w:spacing w:before="120"/>
              <w:rPr>
                <w:b/>
              </w:rPr>
            </w:pPr>
            <w:r w:rsidRPr="00334BFE">
              <w:rPr>
                <w:b/>
              </w:rPr>
              <w:lastRenderedPageBreak/>
              <w:t xml:space="preserve">Expected Construction Start Date: </w:t>
            </w:r>
          </w:p>
        </w:tc>
        <w:tc>
          <w:tcPr>
            <w:tcW w:w="6295" w:type="dxa"/>
          </w:tcPr>
          <w:p w14:paraId="26D1D72E" w14:textId="4734431B" w:rsidR="00267633" w:rsidRPr="00334BFE" w:rsidRDefault="00267633" w:rsidP="0098039F">
            <w:pPr>
              <w:spacing w:before="120" w:after="120"/>
              <w:jc w:val="both"/>
            </w:pPr>
            <w:r w:rsidRPr="00334BFE">
              <w:t>Seller reasonably expects to achieve Construction Start by the following date [</w:t>
            </w:r>
            <w:r w:rsidRPr="00334BFE">
              <w:rPr>
                <w:highlight w:val="lightGray"/>
              </w:rPr>
              <w:t>_______</w:t>
            </w:r>
            <w:r w:rsidRPr="00334BFE">
              <w:t>] (the “</w:t>
            </w:r>
            <w:r w:rsidRPr="00334BFE">
              <w:rPr>
                <w:b/>
                <w:bCs/>
                <w:u w:val="single"/>
              </w:rPr>
              <w:t>Expected Construction Start Date</w:t>
            </w:r>
            <w:r w:rsidRPr="00334BFE">
              <w:t>”).</w:t>
            </w:r>
          </w:p>
        </w:tc>
      </w:tr>
      <w:tr w:rsidR="00267633" w:rsidRPr="00334BFE" w14:paraId="43CB1557" w14:textId="77777777" w:rsidTr="0080155D">
        <w:tc>
          <w:tcPr>
            <w:tcW w:w="3055" w:type="dxa"/>
          </w:tcPr>
          <w:p w14:paraId="67698252" w14:textId="220E60CE" w:rsidR="00267633" w:rsidRPr="00334BFE" w:rsidRDefault="00267633" w:rsidP="00267633">
            <w:pPr>
              <w:spacing w:before="120"/>
              <w:rPr>
                <w:b/>
              </w:rPr>
            </w:pPr>
            <w:r w:rsidRPr="00334BFE">
              <w:rPr>
                <w:b/>
              </w:rPr>
              <w:t>Guaranteed Construction Start Date:</w:t>
            </w:r>
          </w:p>
        </w:tc>
        <w:tc>
          <w:tcPr>
            <w:tcW w:w="6295" w:type="dxa"/>
          </w:tcPr>
          <w:p w14:paraId="1CA47982" w14:textId="77777777" w:rsidR="00267633" w:rsidRPr="00334BFE" w:rsidRDefault="00267633" w:rsidP="0098039F">
            <w:pPr>
              <w:spacing w:before="120" w:after="120"/>
              <w:jc w:val="both"/>
            </w:pPr>
            <w:r w:rsidRPr="00334BFE">
              <w:t>The “</w:t>
            </w:r>
            <w:r w:rsidRPr="00334BFE">
              <w:rPr>
                <w:b/>
                <w:u w:val="single"/>
              </w:rPr>
              <w:t>Guaranteed Construction Start Date</w:t>
            </w:r>
            <w:r w:rsidRPr="00334BFE">
              <w:t>” means the Expected Construction Start Date, subject to extensions on a day-for-day basis due to Force Majeure or delays caused by transmission provider (e.g., the CAISO) or transmission owner (e.g., PG&amp;E) that are outside of the reasonable control of Seller.  Such day-for-day extensions, including for Force Majeure, shall be no longer than one-hundred twenty (120) days on a cumulative basis.  For clarity, these permitted extensions extend both the Guaranteed Construction Start Date and the Guaranteed COD simultaneously.</w:t>
            </w:r>
          </w:p>
          <w:p w14:paraId="6CD62C51" w14:textId="77777777" w:rsidR="00267633" w:rsidRPr="00334BFE" w:rsidRDefault="00267633" w:rsidP="0098039F">
            <w:pPr>
              <w:spacing w:before="120" w:after="120"/>
              <w:jc w:val="both"/>
            </w:pPr>
            <w:r w:rsidRPr="00334BFE">
              <w:t>In the event that Seller fails to achieve the Guaranteed Construction Start Date, Seller shall pay delay damages to Buyer, (the “</w:t>
            </w:r>
            <w:r w:rsidRPr="00334BFE">
              <w:rPr>
                <w:b/>
                <w:u w:val="single"/>
              </w:rPr>
              <w:t>Daily Delay Damages</w:t>
            </w:r>
            <w:r w:rsidRPr="00334BFE">
              <w:t>”) for each day of delay, in the amount of the Development Security divided by 120.  The Daily Delay Damages shall be refundable to Seller if, and only if, Seller achieves COD on or before the Guaranteed COD.</w:t>
            </w:r>
          </w:p>
          <w:p w14:paraId="55B96100" w14:textId="6F6F1330" w:rsidR="00267633" w:rsidRPr="00334BFE" w:rsidRDefault="00267633" w:rsidP="0098039F">
            <w:pPr>
              <w:spacing w:before="120" w:after="120"/>
              <w:jc w:val="both"/>
            </w:pPr>
            <w:r w:rsidRPr="00334BFE">
              <w:t xml:space="preserve">Failure to achieve Guaranteed Construction Start within 180 days of the Guaranteed Construction Start Date shall constitute an Event of Default, and Buyer shall have the right, in its sole discretion, to terminate the PPA and retain the Development Security.  </w:t>
            </w:r>
          </w:p>
        </w:tc>
      </w:tr>
      <w:tr w:rsidR="00267633" w:rsidRPr="00334BFE" w14:paraId="22B95A2B" w14:textId="77777777" w:rsidTr="0080155D">
        <w:tc>
          <w:tcPr>
            <w:tcW w:w="3055" w:type="dxa"/>
          </w:tcPr>
          <w:p w14:paraId="79A1566F" w14:textId="04D10BFC" w:rsidR="00267633" w:rsidRPr="00334BFE" w:rsidRDefault="00267633" w:rsidP="00267633">
            <w:pPr>
              <w:spacing w:before="120"/>
              <w:rPr>
                <w:b/>
              </w:rPr>
            </w:pPr>
            <w:r w:rsidRPr="00334BFE">
              <w:rPr>
                <w:b/>
              </w:rPr>
              <w:t>Expected Commercial Operation Date:</w:t>
            </w:r>
          </w:p>
        </w:tc>
        <w:tc>
          <w:tcPr>
            <w:tcW w:w="6295" w:type="dxa"/>
          </w:tcPr>
          <w:p w14:paraId="3D7DEB51" w14:textId="62C570ED" w:rsidR="00267633" w:rsidRPr="00334BFE" w:rsidRDefault="00267633" w:rsidP="0098039F">
            <w:pPr>
              <w:spacing w:before="120" w:after="120"/>
              <w:jc w:val="both"/>
            </w:pPr>
            <w:r w:rsidRPr="00334BFE">
              <w:t>Seller reasonably expects to achieve Commercial Operation by the following date [</w:t>
            </w:r>
            <w:r w:rsidRPr="00334BFE">
              <w:rPr>
                <w:highlight w:val="lightGray"/>
              </w:rPr>
              <w:t>_______</w:t>
            </w:r>
            <w:r w:rsidRPr="00334BFE">
              <w:t>] (the “</w:t>
            </w:r>
            <w:r w:rsidRPr="00334BFE">
              <w:rPr>
                <w:b/>
                <w:bCs/>
                <w:u w:val="single"/>
              </w:rPr>
              <w:t>Expected Commercial Operation Date</w:t>
            </w:r>
            <w:r w:rsidRPr="00334BFE">
              <w:t>”).</w:t>
            </w:r>
          </w:p>
        </w:tc>
      </w:tr>
      <w:tr w:rsidR="00267633" w:rsidRPr="00334BFE" w14:paraId="53C0DAEC" w14:textId="77777777" w:rsidTr="0080155D">
        <w:tc>
          <w:tcPr>
            <w:tcW w:w="3055" w:type="dxa"/>
          </w:tcPr>
          <w:p w14:paraId="36E9EBEE" w14:textId="6C64D96D" w:rsidR="00267633" w:rsidRPr="00334BFE" w:rsidRDefault="00267633" w:rsidP="00267633">
            <w:pPr>
              <w:spacing w:before="120"/>
              <w:rPr>
                <w:b/>
              </w:rPr>
            </w:pPr>
            <w:r w:rsidRPr="00334BFE">
              <w:rPr>
                <w:b/>
              </w:rPr>
              <w:lastRenderedPageBreak/>
              <w:t>Guaranteed Commercial Operation Date:</w:t>
            </w:r>
          </w:p>
        </w:tc>
        <w:tc>
          <w:tcPr>
            <w:tcW w:w="6295" w:type="dxa"/>
          </w:tcPr>
          <w:p w14:paraId="73F623AE" w14:textId="77777777" w:rsidR="00267633" w:rsidRPr="00334BFE" w:rsidRDefault="00267633" w:rsidP="0098039F">
            <w:pPr>
              <w:spacing w:before="120" w:after="120"/>
              <w:jc w:val="both"/>
            </w:pPr>
            <w:r w:rsidRPr="00334BFE">
              <w:t>The “</w:t>
            </w:r>
            <w:r w:rsidRPr="00334BFE">
              <w:rPr>
                <w:b/>
                <w:u w:val="single"/>
              </w:rPr>
              <w:t>Guaranteed Commercial Operation Date</w:t>
            </w:r>
            <w:r w:rsidRPr="00334BFE">
              <w:t>” or “</w:t>
            </w:r>
            <w:r w:rsidRPr="00334BFE">
              <w:rPr>
                <w:b/>
                <w:u w:val="single"/>
              </w:rPr>
              <w:t>Guaranteed COD</w:t>
            </w:r>
            <w:r w:rsidRPr="00334BFE">
              <w:t>” means the Expected Commercial Operation Date, subject to extensions on a day-for-day basis due to Force Majeure or delays caused by transmission provider (e.g., the CAISO) or transmission owner (e.g., PG&amp;E) that are outside of the reasonable control of Seller.  Such day-for-day extensions, including for Force Majeure, shall be no longer than one-hundred twenty (120) days on a cumulative basis.  For clarity, these permitted extensions extend both the Guaranteed Construction Start Date and the Guaranteed COD simultaneously.</w:t>
            </w:r>
          </w:p>
          <w:p w14:paraId="44C3B86E" w14:textId="6FAF6A6D" w:rsidR="00267633" w:rsidRPr="00334BFE" w:rsidRDefault="00267633" w:rsidP="0098039F">
            <w:pPr>
              <w:spacing w:before="120" w:after="120"/>
              <w:jc w:val="both"/>
            </w:pPr>
            <w:r w:rsidRPr="00334BFE">
              <w:t xml:space="preserve">If the Seller does not achieve COD of the </w:t>
            </w:r>
            <w:r w:rsidR="00D7172B" w:rsidRPr="00334BFE">
              <w:t>Storage Facility</w:t>
            </w:r>
            <w:r w:rsidRPr="00334BFE">
              <w:t xml:space="preserve"> by the Guaranteed COD, Seller shall pay Delay Damages to the Buyer for each day of delay until Seller achieves COD.</w:t>
            </w:r>
          </w:p>
          <w:p w14:paraId="2387354B" w14:textId="77777777" w:rsidR="00267633" w:rsidRPr="00334BFE" w:rsidRDefault="00267633" w:rsidP="0098039F">
            <w:pPr>
              <w:spacing w:before="120" w:after="120"/>
              <w:jc w:val="both"/>
            </w:pPr>
            <w:r w:rsidRPr="00334BFE">
              <w:t>“</w:t>
            </w:r>
            <w:r w:rsidRPr="00334BFE">
              <w:rPr>
                <w:b/>
                <w:u w:val="single"/>
              </w:rPr>
              <w:t>Delay Damages</w:t>
            </w:r>
            <w:r w:rsidRPr="00334BFE">
              <w:t>” are equal to the Development Security divided by 60.  Delay Damages shall be paid for each day of delay and shall be paid to Buyer in advance on a monthly basis. A prorated amount will be returned to Seller if COD is achieved during the month for which Delay Damages were paid in advance.</w:t>
            </w:r>
          </w:p>
          <w:p w14:paraId="470CDE81" w14:textId="15145637" w:rsidR="00267633" w:rsidRPr="00334BFE" w:rsidRDefault="00267633" w:rsidP="0098039F">
            <w:pPr>
              <w:spacing w:before="120" w:after="120"/>
              <w:jc w:val="both"/>
            </w:pPr>
            <w:r w:rsidRPr="00334BFE">
              <w:t xml:space="preserve">Failure to achieve COD within 60 days of the Guaranteed COD shall constitute an Event of Default, and Buyer shall have the right, in its sole discretion, to terminate the PPA and retain the Development Security.  </w:t>
            </w:r>
          </w:p>
        </w:tc>
      </w:tr>
      <w:tr w:rsidR="00267633" w:rsidRPr="00334BFE" w14:paraId="794B51AF" w14:textId="77777777" w:rsidTr="0080155D">
        <w:tc>
          <w:tcPr>
            <w:tcW w:w="3055" w:type="dxa"/>
          </w:tcPr>
          <w:p w14:paraId="3692A500" w14:textId="77777777" w:rsidR="00267633" w:rsidRPr="00334BFE" w:rsidRDefault="00267633" w:rsidP="00267633">
            <w:pPr>
              <w:spacing w:before="120"/>
              <w:rPr>
                <w:b/>
              </w:rPr>
            </w:pPr>
            <w:r w:rsidRPr="00334BFE">
              <w:rPr>
                <w:b/>
              </w:rPr>
              <w:t>Commercial Operation Date (“</w:t>
            </w:r>
            <w:r w:rsidRPr="00334BFE">
              <w:rPr>
                <w:b/>
                <w:u w:val="single"/>
              </w:rPr>
              <w:t>COD</w:t>
            </w:r>
            <w:r w:rsidRPr="00334BFE">
              <w:rPr>
                <w:b/>
              </w:rPr>
              <w:t>”):</w:t>
            </w:r>
          </w:p>
        </w:tc>
        <w:tc>
          <w:tcPr>
            <w:tcW w:w="6295" w:type="dxa"/>
          </w:tcPr>
          <w:p w14:paraId="32D0B363" w14:textId="77777777" w:rsidR="00267633" w:rsidRPr="00334BFE" w:rsidRDefault="00267633" w:rsidP="0098039F">
            <w:pPr>
              <w:spacing w:before="120" w:after="120"/>
              <w:jc w:val="both"/>
            </w:pPr>
            <w:r w:rsidRPr="00334BFE">
              <w:t xml:space="preserve">The COD shall be the date when all of the following requirements have been met to Buyer’s reasonable satisfaction including Seller providing a certificate from an independent engineer to Buyer with respect to subparts (i), (iii), (iv) and (v): </w:t>
            </w:r>
          </w:p>
          <w:p w14:paraId="0B7EB443" w14:textId="173FA74B" w:rsidR="00267633" w:rsidRPr="00334BFE" w:rsidRDefault="00D7172B" w:rsidP="0098039F">
            <w:pPr>
              <w:pStyle w:val="ListParagraph"/>
              <w:numPr>
                <w:ilvl w:val="0"/>
                <w:numId w:val="20"/>
              </w:numPr>
              <w:spacing w:before="120" w:after="120"/>
              <w:ind w:left="983" w:hanging="737"/>
              <w:contextualSpacing w:val="0"/>
              <w:jc w:val="both"/>
            </w:pPr>
            <w:r w:rsidRPr="00334BFE">
              <w:t>Storage Facility</w:t>
            </w:r>
            <w:r w:rsidR="00267633" w:rsidRPr="00334BFE">
              <w:t xml:space="preserve"> has met all Interconnection Agreement requirements and is capable of receiving charging energy from, and delivering discharging energy to, the CAISO Balancing Authority;</w:t>
            </w:r>
          </w:p>
          <w:p w14:paraId="16D612E8" w14:textId="581C0140" w:rsidR="00267633" w:rsidRPr="00334BFE" w:rsidRDefault="00267633" w:rsidP="0098039F">
            <w:pPr>
              <w:pStyle w:val="ListParagraph"/>
              <w:numPr>
                <w:ilvl w:val="0"/>
                <w:numId w:val="20"/>
              </w:numPr>
              <w:spacing w:before="120" w:after="120"/>
              <w:ind w:left="983" w:hanging="737"/>
              <w:contextualSpacing w:val="0"/>
              <w:jc w:val="both"/>
            </w:pPr>
            <w:r w:rsidRPr="00334BFE">
              <w:t xml:space="preserve">Seller has provided Buyer with a copy of written notice from the CAISO that the </w:t>
            </w:r>
            <w:r w:rsidR="00D7172B" w:rsidRPr="00334BFE">
              <w:t>Storage Facility</w:t>
            </w:r>
            <w:r w:rsidRPr="00334BFE">
              <w:t xml:space="preserve"> has achieved Full Capacity Deliverability Status (as defined in the CAISO tariff), if applicable;</w:t>
            </w:r>
          </w:p>
          <w:p w14:paraId="2DA01A56" w14:textId="77777777" w:rsidR="00267633" w:rsidRPr="00334BFE" w:rsidRDefault="00267633" w:rsidP="0098039F">
            <w:pPr>
              <w:pStyle w:val="ListParagraph"/>
              <w:numPr>
                <w:ilvl w:val="0"/>
                <w:numId w:val="20"/>
              </w:numPr>
              <w:spacing w:before="120" w:after="120"/>
              <w:ind w:left="983" w:hanging="737"/>
              <w:contextualSpacing w:val="0"/>
              <w:jc w:val="both"/>
            </w:pPr>
            <w:r w:rsidRPr="00334BFE">
              <w:t xml:space="preserve">Commissioning of equipment has been completed in accordance with the manufacturer’s specification; </w:t>
            </w:r>
          </w:p>
          <w:p w14:paraId="721F16BA" w14:textId="49A4751F" w:rsidR="00267633" w:rsidRPr="00334BFE" w:rsidRDefault="00267633" w:rsidP="0098039F">
            <w:pPr>
              <w:pStyle w:val="ListParagraph"/>
              <w:numPr>
                <w:ilvl w:val="0"/>
                <w:numId w:val="20"/>
              </w:numPr>
              <w:spacing w:before="120" w:after="120"/>
              <w:ind w:left="983" w:hanging="737"/>
              <w:contextualSpacing w:val="0"/>
              <w:jc w:val="both"/>
            </w:pPr>
            <w:r w:rsidRPr="00334BFE">
              <w:t xml:space="preserve">100% of </w:t>
            </w:r>
            <w:r w:rsidR="00E8295B" w:rsidRPr="00334BFE">
              <w:t xml:space="preserve">Storage </w:t>
            </w:r>
            <w:r w:rsidRPr="00334BFE">
              <w:t>Capacity has been installed and commissioned;</w:t>
            </w:r>
          </w:p>
          <w:p w14:paraId="2DB7D455" w14:textId="70109B61" w:rsidR="00267633" w:rsidRPr="00334BFE" w:rsidRDefault="00D7172B" w:rsidP="0098039F">
            <w:pPr>
              <w:pStyle w:val="ListParagraph"/>
              <w:numPr>
                <w:ilvl w:val="0"/>
                <w:numId w:val="20"/>
              </w:numPr>
              <w:spacing w:before="120" w:after="120"/>
              <w:ind w:left="983" w:hanging="737"/>
              <w:contextualSpacing w:val="0"/>
              <w:jc w:val="both"/>
            </w:pPr>
            <w:r w:rsidRPr="00334BFE">
              <w:lastRenderedPageBreak/>
              <w:t>Storage Facility</w:t>
            </w:r>
            <w:r w:rsidR="00267633" w:rsidRPr="00334BFE">
              <w:t xml:space="preserve"> has successfully completed all testing required by prudent utility practices or any requirement of law to operate the </w:t>
            </w:r>
            <w:r w:rsidRPr="00334BFE">
              <w:t>Storage Facility</w:t>
            </w:r>
            <w:r w:rsidR="00267633" w:rsidRPr="00334BFE">
              <w:t>;</w:t>
            </w:r>
          </w:p>
          <w:p w14:paraId="005996FA" w14:textId="6A63ED0B" w:rsidR="00267633" w:rsidRPr="00334BFE" w:rsidRDefault="00267633" w:rsidP="0098039F">
            <w:pPr>
              <w:pStyle w:val="ListParagraph"/>
              <w:numPr>
                <w:ilvl w:val="0"/>
                <w:numId w:val="20"/>
              </w:numPr>
              <w:spacing w:before="120" w:after="120"/>
              <w:ind w:left="983" w:hanging="737"/>
              <w:contextualSpacing w:val="0"/>
              <w:jc w:val="both"/>
            </w:pPr>
            <w:r w:rsidRPr="00334BFE">
              <w:t xml:space="preserve">All applicable permits and government approvals required for the operation of the </w:t>
            </w:r>
            <w:r w:rsidR="00D7172B" w:rsidRPr="00334BFE">
              <w:t>Storage Facility</w:t>
            </w:r>
            <w:r w:rsidRPr="00334BFE">
              <w:t xml:space="preserve"> have been obtained; </w:t>
            </w:r>
          </w:p>
          <w:p w14:paraId="08019CFC" w14:textId="77777777" w:rsidR="00267633" w:rsidRPr="00334BFE" w:rsidRDefault="00267633" w:rsidP="0098039F">
            <w:pPr>
              <w:pStyle w:val="ListParagraph"/>
              <w:numPr>
                <w:ilvl w:val="0"/>
                <w:numId w:val="20"/>
              </w:numPr>
              <w:spacing w:before="120" w:after="120"/>
              <w:ind w:left="983" w:hanging="737"/>
              <w:contextualSpacing w:val="0"/>
              <w:jc w:val="both"/>
            </w:pPr>
            <w:r w:rsidRPr="00334BFE">
              <w:t>Seller has obtained all real property rights;</w:t>
            </w:r>
          </w:p>
          <w:p w14:paraId="40F030D0" w14:textId="77777777" w:rsidR="00267633" w:rsidRPr="00334BFE" w:rsidRDefault="00267633" w:rsidP="0098039F">
            <w:pPr>
              <w:pStyle w:val="ListParagraph"/>
              <w:numPr>
                <w:ilvl w:val="0"/>
                <w:numId w:val="20"/>
              </w:numPr>
              <w:spacing w:before="120" w:after="120"/>
              <w:ind w:left="983" w:hanging="737"/>
              <w:contextualSpacing w:val="0"/>
              <w:jc w:val="both"/>
            </w:pPr>
            <w:r w:rsidRPr="00334BFE">
              <w:t>Security requirements for the Delivery Term have been met; and</w:t>
            </w:r>
          </w:p>
          <w:p w14:paraId="207921A0" w14:textId="3AFD95C8" w:rsidR="00267633" w:rsidRPr="00334BFE" w:rsidRDefault="00267633" w:rsidP="00267633">
            <w:pPr>
              <w:pStyle w:val="ListParagraph"/>
              <w:numPr>
                <w:ilvl w:val="0"/>
                <w:numId w:val="20"/>
              </w:numPr>
              <w:spacing w:before="120" w:after="120"/>
              <w:ind w:left="983" w:hanging="737"/>
              <w:contextualSpacing w:val="0"/>
              <w:jc w:val="both"/>
            </w:pPr>
            <w:r w:rsidRPr="00334BFE">
              <w:t xml:space="preserve">Insurance requirements for the </w:t>
            </w:r>
            <w:r w:rsidR="00D7172B" w:rsidRPr="00334BFE">
              <w:t>Storage Facility</w:t>
            </w:r>
            <w:r w:rsidRPr="00334BFE">
              <w:t xml:space="preserve"> have been met, with evidence provided in writing to Buyer. </w:t>
            </w:r>
          </w:p>
          <w:p w14:paraId="620BC9D8" w14:textId="464E5BB3" w:rsidR="00267633" w:rsidRPr="00334BFE" w:rsidRDefault="00267633" w:rsidP="00267633">
            <w:pPr>
              <w:spacing w:before="120" w:after="120"/>
              <w:jc w:val="both"/>
            </w:pPr>
            <w:r w:rsidRPr="00334BFE">
              <w:t>Seller shall provide notice of expected COD to Buyer in writing no less than sixty (60) days in advance of such date. Seller shall notify Buyer in writing when Seller believes that it has provided the required documentation to Buyer and met the conditions for achieving COD. Buyer shall have five (5) Business Days to approve or reject Seller’s request for COD. Upon Buyer’s approval of Seller’s achievement of COD, Buyer shall provide Seller with written acknowledgement of the COD.</w:t>
            </w:r>
          </w:p>
        </w:tc>
      </w:tr>
      <w:tr w:rsidR="000469C3" w:rsidRPr="00334BFE" w14:paraId="461E714C" w14:textId="77777777" w:rsidTr="0080155D">
        <w:tc>
          <w:tcPr>
            <w:tcW w:w="3055" w:type="dxa"/>
          </w:tcPr>
          <w:p w14:paraId="05CB0769" w14:textId="066592CA" w:rsidR="000469C3" w:rsidRPr="00334BFE" w:rsidRDefault="00D7172B" w:rsidP="000469C3">
            <w:pPr>
              <w:spacing w:before="120"/>
              <w:rPr>
                <w:b/>
              </w:rPr>
            </w:pPr>
            <w:r w:rsidRPr="00334BFE">
              <w:rPr>
                <w:b/>
              </w:rPr>
              <w:lastRenderedPageBreak/>
              <w:t>Storage Facility</w:t>
            </w:r>
            <w:r w:rsidR="000469C3" w:rsidRPr="00334BFE">
              <w:rPr>
                <w:b/>
              </w:rPr>
              <w:t xml:space="preserve"> Development Milestones:</w:t>
            </w:r>
          </w:p>
        </w:tc>
        <w:tc>
          <w:tcPr>
            <w:tcW w:w="6295" w:type="dxa"/>
            <w:shd w:val="clear" w:color="auto" w:fill="auto"/>
          </w:tcPr>
          <w:p w14:paraId="2E69A5DD" w14:textId="3FDF6994"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Pr="00334BFE">
              <w:rPr>
                <w:rFonts w:ascii="Times New Roman" w:hAnsi="Times New Roman" w:cs="Times New Roman"/>
                <w:i/>
                <w:iCs/>
                <w:sz w:val="24"/>
                <w:szCs w:val="24"/>
                <w:highlight w:val="lightGray"/>
              </w:rPr>
              <w:t>mm/</w:t>
            </w:r>
            <w:r w:rsidR="00A23101" w:rsidRPr="00334BFE">
              <w:rPr>
                <w:rFonts w:ascii="Times New Roman" w:hAnsi="Times New Roman" w:cs="Times New Roman"/>
                <w:i/>
                <w:iCs/>
                <w:sz w:val="24"/>
                <w:szCs w:val="24"/>
                <w:highlight w:val="lightGray"/>
              </w:rPr>
              <w:t>dd/</w:t>
            </w:r>
            <w:r w:rsidRPr="00334BFE">
              <w:rPr>
                <w:rFonts w:ascii="Times New Roman" w:hAnsi="Times New Roman" w:cs="Times New Roman"/>
                <w:i/>
                <w:iCs/>
                <w:sz w:val="24"/>
                <w:szCs w:val="24"/>
                <w:highlight w:val="lightGray"/>
              </w:rPr>
              <w:t>yyyy</w:t>
            </w:r>
            <w:r w:rsidRPr="00334BFE">
              <w:rPr>
                <w:rFonts w:ascii="Times New Roman" w:hAnsi="Times New Roman" w:cs="Times New Roman"/>
                <w:sz w:val="24"/>
                <w:szCs w:val="24"/>
              </w:rPr>
              <w:t>]– Execute Interconnection Agreement</w:t>
            </w:r>
          </w:p>
          <w:p w14:paraId="260CE12F" w14:textId="0CF2A496"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 Procure major equipment</w:t>
            </w:r>
          </w:p>
          <w:p w14:paraId="57279001" w14:textId="5749EF44"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w:t>
            </w:r>
            <w:r w:rsidR="00D7172B" w:rsidRPr="00334BFE">
              <w:rPr>
                <w:rFonts w:ascii="Times New Roman" w:hAnsi="Times New Roman" w:cs="Times New Roman"/>
                <w:sz w:val="24"/>
                <w:szCs w:val="24"/>
              </w:rPr>
              <w:t xml:space="preserve"> </w:t>
            </w:r>
            <w:r w:rsidRPr="00334BFE">
              <w:rPr>
                <w:rFonts w:ascii="Times New Roman" w:hAnsi="Times New Roman" w:cs="Times New Roman"/>
                <w:sz w:val="24"/>
                <w:szCs w:val="24"/>
              </w:rPr>
              <w:t xml:space="preserve">Obtain federal and state discretionary permits </w:t>
            </w:r>
          </w:p>
          <w:p w14:paraId="23CC5E97" w14:textId="51644229"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 Expected Construction Start Date</w:t>
            </w:r>
          </w:p>
          <w:p w14:paraId="725593BB" w14:textId="70B02DE0"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 Guaranteed Construction Start Date</w:t>
            </w:r>
          </w:p>
          <w:p w14:paraId="581154B5" w14:textId="01541635"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 Obtain Full Capacity Deliverability Status</w:t>
            </w:r>
          </w:p>
          <w:p w14:paraId="2BEB93A0" w14:textId="0D51B9F2"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Expected Commercial Operation Date</w:t>
            </w:r>
          </w:p>
          <w:p w14:paraId="1481797D" w14:textId="102E1283" w:rsidR="000469C3" w:rsidRPr="00334BFE" w:rsidRDefault="000469C3" w:rsidP="0098039F">
            <w:pPr>
              <w:pStyle w:val="JeffsPreferredBullets"/>
              <w:numPr>
                <w:ilvl w:val="0"/>
                <w:numId w:val="28"/>
              </w:numPr>
              <w:spacing w:before="120" w:after="120" w:line="240" w:lineRule="auto"/>
              <w:ind w:left="432"/>
              <w:contextualSpacing w:val="0"/>
              <w:jc w:val="both"/>
              <w:rPr>
                <w:rFonts w:ascii="Times New Roman" w:hAnsi="Times New Roman" w:cs="Times New Roman"/>
                <w:bCs/>
                <w:sz w:val="24"/>
                <w:szCs w:val="24"/>
              </w:rPr>
            </w:pPr>
            <w:r w:rsidRPr="00334BFE">
              <w:rPr>
                <w:rFonts w:ascii="Times New Roman" w:hAnsi="Times New Roman" w:cs="Times New Roman"/>
                <w:sz w:val="24"/>
                <w:szCs w:val="24"/>
              </w:rPr>
              <w:t>[</w:t>
            </w:r>
            <w:r w:rsidR="00A23101" w:rsidRPr="00334BFE">
              <w:rPr>
                <w:rFonts w:ascii="Times New Roman" w:hAnsi="Times New Roman" w:cs="Times New Roman"/>
                <w:i/>
                <w:iCs/>
                <w:sz w:val="24"/>
                <w:szCs w:val="24"/>
                <w:highlight w:val="lightGray"/>
              </w:rPr>
              <w:t>mm/dd/yyyy</w:t>
            </w:r>
            <w:r w:rsidRPr="00334BFE">
              <w:rPr>
                <w:rFonts w:ascii="Times New Roman" w:hAnsi="Times New Roman" w:cs="Times New Roman"/>
                <w:sz w:val="24"/>
                <w:szCs w:val="24"/>
              </w:rPr>
              <w:t xml:space="preserve">]– Guaranteed Commercial Operation Date </w:t>
            </w:r>
          </w:p>
        </w:tc>
      </w:tr>
      <w:tr w:rsidR="00AD12F8" w:rsidRPr="00334BFE" w14:paraId="3716A3E1" w14:textId="77777777" w:rsidTr="0080155D">
        <w:tc>
          <w:tcPr>
            <w:tcW w:w="3055" w:type="dxa"/>
          </w:tcPr>
          <w:p w14:paraId="0A6EADDB" w14:textId="18F9A07D" w:rsidR="00AD12F8" w:rsidRPr="00334BFE" w:rsidRDefault="00AD12F8" w:rsidP="00AD12F8">
            <w:pPr>
              <w:spacing w:before="120"/>
              <w:rPr>
                <w:b/>
              </w:rPr>
            </w:pPr>
            <w:r w:rsidRPr="00334BFE">
              <w:rPr>
                <w:b/>
              </w:rPr>
              <w:t>Deliverability:</w:t>
            </w:r>
          </w:p>
        </w:tc>
        <w:tc>
          <w:tcPr>
            <w:tcW w:w="6295" w:type="dxa"/>
            <w:shd w:val="clear" w:color="auto" w:fill="auto"/>
          </w:tcPr>
          <w:p w14:paraId="5310659A" w14:textId="4AADA8E5" w:rsidR="00AD12F8" w:rsidRPr="00334BFE" w:rsidRDefault="00AD12F8" w:rsidP="0098039F">
            <w:pPr>
              <w:pStyle w:val="JeffsPreferredBullets"/>
              <w:numPr>
                <w:ilvl w:val="0"/>
                <w:numId w:val="0"/>
              </w:numPr>
              <w:spacing w:before="120" w:after="120" w:line="240" w:lineRule="auto"/>
              <w:contextualSpacing w:val="0"/>
              <w:jc w:val="both"/>
              <w:rPr>
                <w:rFonts w:ascii="Times New Roman" w:hAnsi="Times New Roman" w:cs="Times New Roman"/>
                <w:sz w:val="24"/>
                <w:szCs w:val="24"/>
              </w:rPr>
            </w:pPr>
            <w:r w:rsidRPr="00334BFE">
              <w:rPr>
                <w:rFonts w:ascii="Times New Roman" w:hAnsi="Times New Roman" w:cs="Times New Roman"/>
                <w:sz w:val="24"/>
                <w:szCs w:val="24"/>
              </w:rPr>
              <w:t xml:space="preserve">The </w:t>
            </w:r>
            <w:r w:rsidR="00D7172B" w:rsidRPr="00334BFE">
              <w:rPr>
                <w:rFonts w:ascii="Times New Roman" w:hAnsi="Times New Roman" w:cs="Times New Roman"/>
                <w:sz w:val="24"/>
                <w:szCs w:val="24"/>
              </w:rPr>
              <w:t>Storage Facility</w:t>
            </w:r>
            <w:r w:rsidRPr="00334BFE">
              <w:rPr>
                <w:rFonts w:ascii="Times New Roman" w:hAnsi="Times New Roman" w:cs="Times New Roman"/>
                <w:sz w:val="24"/>
                <w:szCs w:val="24"/>
              </w:rPr>
              <w:t xml:space="preserve"> will have Full Capacity Deliverability Status by the Commercial Operation Date.</w:t>
            </w:r>
          </w:p>
        </w:tc>
      </w:tr>
      <w:tr w:rsidR="00AD12F8" w:rsidRPr="00334BFE" w14:paraId="6A2B8CA7" w14:textId="77777777" w:rsidTr="0080155D">
        <w:tc>
          <w:tcPr>
            <w:tcW w:w="3055" w:type="dxa"/>
          </w:tcPr>
          <w:p w14:paraId="5366BB36" w14:textId="4A813A0A" w:rsidR="00AD12F8" w:rsidRPr="00334BFE" w:rsidRDefault="00AD12F8" w:rsidP="00AD12F8">
            <w:pPr>
              <w:spacing w:before="120"/>
              <w:rPr>
                <w:b/>
              </w:rPr>
            </w:pPr>
            <w:r w:rsidRPr="00334BFE">
              <w:rPr>
                <w:b/>
              </w:rPr>
              <w:t>Site Control:</w:t>
            </w:r>
          </w:p>
        </w:tc>
        <w:tc>
          <w:tcPr>
            <w:tcW w:w="6295" w:type="dxa"/>
            <w:shd w:val="clear" w:color="auto" w:fill="auto"/>
          </w:tcPr>
          <w:p w14:paraId="2728FAD5" w14:textId="63AB26E5" w:rsidR="00AD12F8" w:rsidRPr="00334BFE" w:rsidRDefault="00AD12F8" w:rsidP="0098039F">
            <w:pPr>
              <w:pStyle w:val="JeffsPreferredBullets"/>
              <w:numPr>
                <w:ilvl w:val="0"/>
                <w:numId w:val="0"/>
              </w:numPr>
              <w:spacing w:before="120" w:after="120" w:line="240" w:lineRule="auto"/>
              <w:contextualSpacing w:val="0"/>
              <w:jc w:val="both"/>
              <w:rPr>
                <w:rFonts w:ascii="Times New Roman" w:hAnsi="Times New Roman" w:cs="Times New Roman"/>
                <w:sz w:val="24"/>
                <w:szCs w:val="24"/>
              </w:rPr>
            </w:pPr>
            <w:r w:rsidRPr="00334BFE">
              <w:rPr>
                <w:rFonts w:ascii="Times New Roman" w:hAnsi="Times New Roman" w:cs="Times New Roman"/>
                <w:sz w:val="24"/>
                <w:szCs w:val="24"/>
              </w:rPr>
              <w:t xml:space="preserve">Seller shall maintain site control </w:t>
            </w:r>
            <w:r w:rsidR="00CB548A" w:rsidRPr="00334BFE">
              <w:rPr>
                <w:rFonts w:ascii="Times New Roman" w:hAnsi="Times New Roman" w:cs="Times New Roman"/>
                <w:sz w:val="24"/>
                <w:szCs w:val="24"/>
              </w:rPr>
              <w:t xml:space="preserve">of the Storage Facility </w:t>
            </w:r>
            <w:r w:rsidRPr="00334BFE">
              <w:rPr>
                <w:rFonts w:ascii="Times New Roman" w:hAnsi="Times New Roman" w:cs="Times New Roman"/>
                <w:sz w:val="24"/>
                <w:szCs w:val="24"/>
              </w:rPr>
              <w:t>throughout the Delivery Term.</w:t>
            </w:r>
          </w:p>
        </w:tc>
      </w:tr>
      <w:tr w:rsidR="00AD12F8" w:rsidRPr="00334BFE" w14:paraId="0E212CB8" w14:textId="77777777" w:rsidTr="0080155D">
        <w:tc>
          <w:tcPr>
            <w:tcW w:w="3055" w:type="dxa"/>
          </w:tcPr>
          <w:p w14:paraId="1A33CADC" w14:textId="77777777" w:rsidR="00AD12F8" w:rsidRPr="00334BFE" w:rsidRDefault="00AD12F8" w:rsidP="00AD12F8">
            <w:pPr>
              <w:spacing w:before="120"/>
            </w:pPr>
            <w:r w:rsidRPr="00334BFE">
              <w:rPr>
                <w:b/>
              </w:rPr>
              <w:t>Scheduling Requirements and CAISO Settlements:</w:t>
            </w:r>
          </w:p>
        </w:tc>
        <w:tc>
          <w:tcPr>
            <w:tcW w:w="6295" w:type="dxa"/>
          </w:tcPr>
          <w:p w14:paraId="4FFA19FC" w14:textId="5DF73652" w:rsidR="00AD12F8" w:rsidRPr="00334BFE" w:rsidRDefault="00D57C42" w:rsidP="0098039F">
            <w:pPr>
              <w:spacing w:before="120" w:after="120"/>
              <w:jc w:val="both"/>
            </w:pPr>
            <w:r w:rsidRPr="00334BFE">
              <w:rPr>
                <w:u w:val="single"/>
              </w:rPr>
              <w:t>For Storage Product</w:t>
            </w:r>
            <w:r w:rsidR="00932C2D" w:rsidRPr="00A23101">
              <w:t>:</w:t>
            </w:r>
            <w:r w:rsidRPr="00334BFE">
              <w:t xml:space="preserve"> </w:t>
            </w:r>
            <w:r w:rsidR="00AD12F8" w:rsidRPr="00334BFE">
              <w:t>Buyer or Buyer’s agent shall act as Scheduling Coordinator (as defined by the CAISO)</w:t>
            </w:r>
            <w:r w:rsidR="00F55CB7" w:rsidRPr="00334BFE">
              <w:t xml:space="preserve"> </w:t>
            </w:r>
            <w:r w:rsidR="00AD12F8" w:rsidRPr="00334BFE">
              <w:t xml:space="preserve">for the </w:t>
            </w:r>
            <w:r w:rsidR="00D7172B" w:rsidRPr="00334BFE">
              <w:t>Storage Facility</w:t>
            </w:r>
            <w:r w:rsidR="00AD12F8" w:rsidRPr="00334BFE">
              <w:t xml:space="preserve">. Buyer shall be financially responsible for such </w:t>
            </w:r>
            <w:r w:rsidR="00AD12F8" w:rsidRPr="00334BFE">
              <w:lastRenderedPageBreak/>
              <w:t xml:space="preserve">services and shall pay for all CAISO charges </w:t>
            </w:r>
            <w:r w:rsidR="00084D44" w:rsidRPr="00334BFE">
              <w:t xml:space="preserve">(including for charging energy) </w:t>
            </w:r>
            <w:r w:rsidR="00AD12F8" w:rsidRPr="00334BFE">
              <w:t>and retain all CAISO payments</w:t>
            </w:r>
            <w:r w:rsidR="00084D44" w:rsidRPr="00334BFE">
              <w:t xml:space="preserve"> (including for discharging energy)</w:t>
            </w:r>
            <w:r w:rsidR="00AD12F8" w:rsidRPr="00334BFE">
              <w:t xml:space="preserve">; provided however, that notwithstanding the foregoing, Seller shall assume all liability and reimburse Buyer for any and all costs or charges (i) incurred by Buyer because of Seller’s failure to perform, (ii) incurred by Buyer because of any outages for which notice has not been provided as required, (iii) associated with Resource Adequacy Capacity (as defined by the CAISO) from the </w:t>
            </w:r>
            <w:r w:rsidR="00D7172B" w:rsidRPr="00334BFE">
              <w:t>Storage Facility</w:t>
            </w:r>
            <w:r w:rsidR="00AD12F8" w:rsidRPr="00334BFE">
              <w:t xml:space="preserve"> (including Non-Availability Charges (as defined by the CAISO)), if applicable or (iv) to the extent arising as a result of Seller’s failure to comply with a timely Buyer Curtailment Order if such failure results in incremental costs to Buyer. </w:t>
            </w:r>
          </w:p>
          <w:p w14:paraId="0F05808D" w14:textId="5288D91C" w:rsidR="00D03BA8" w:rsidRPr="00A23101" w:rsidRDefault="00AD12F8" w:rsidP="0098039F">
            <w:pPr>
              <w:spacing w:before="120" w:after="120"/>
              <w:jc w:val="both"/>
            </w:pPr>
            <w:r w:rsidRPr="00334BFE">
              <w:t xml:space="preserve">Outage and curtailment notifications will be required by Buyer as well as access to </w:t>
            </w:r>
            <w:r w:rsidR="00D7172B" w:rsidRPr="00334BFE">
              <w:t>Storage Facility</w:t>
            </w:r>
            <w:r w:rsidRPr="00334BFE">
              <w:t xml:space="preserve"> charging and discharging data. </w:t>
            </w:r>
          </w:p>
          <w:p w14:paraId="502A9EF6" w14:textId="448C76D9" w:rsidR="00084D44" w:rsidRPr="00334BFE" w:rsidRDefault="00084D44" w:rsidP="0098039F">
            <w:pPr>
              <w:spacing w:before="120" w:after="120"/>
              <w:jc w:val="both"/>
            </w:pPr>
            <w:r w:rsidRPr="00334BFE">
              <w:rPr>
                <w:u w:val="single"/>
              </w:rPr>
              <w:t>For RA Product</w:t>
            </w:r>
            <w:r w:rsidR="00932C2D" w:rsidRPr="00A23101">
              <w:t>:</w:t>
            </w:r>
            <w:r w:rsidRPr="00334BFE">
              <w:t xml:space="preserve"> Seller or Seller’s agent shall act as Scheduling Coordinator (as defined by the CAISO) for the Storage Facility. Seller shall be financially responsible for such services and shall pay for all CAISO charges and retain all CAISO payments.</w:t>
            </w:r>
          </w:p>
        </w:tc>
      </w:tr>
      <w:tr w:rsidR="00AD12F8" w:rsidRPr="00334BFE" w14:paraId="1D2D04B5" w14:textId="77777777" w:rsidTr="0080155D">
        <w:tc>
          <w:tcPr>
            <w:tcW w:w="3055" w:type="dxa"/>
          </w:tcPr>
          <w:p w14:paraId="29BD5128" w14:textId="7EBE6009" w:rsidR="00AD12F8" w:rsidRPr="00334BFE" w:rsidRDefault="00AD12F8" w:rsidP="00AD12F8">
            <w:pPr>
              <w:spacing w:before="120"/>
              <w:rPr>
                <w:b/>
              </w:rPr>
            </w:pPr>
            <w:r w:rsidRPr="00334BFE">
              <w:rPr>
                <w:b/>
              </w:rPr>
              <w:lastRenderedPageBreak/>
              <w:t>Monthly Settlement and Invoice:</w:t>
            </w:r>
          </w:p>
        </w:tc>
        <w:tc>
          <w:tcPr>
            <w:tcW w:w="6295" w:type="dxa"/>
          </w:tcPr>
          <w:p w14:paraId="5EDF3BDA" w14:textId="2D74A0C9" w:rsidR="00AD12F8" w:rsidRPr="00334BFE" w:rsidRDefault="00AD12F8" w:rsidP="00AD12F8">
            <w:pPr>
              <w:spacing w:before="120" w:after="120"/>
              <w:jc w:val="both"/>
              <w:outlineLvl w:val="3"/>
            </w:pPr>
            <w:r w:rsidRPr="00334BFE">
              <w:t>Within ten (10) days after the end of each month of the Delivery Term, Seller shall send a detailed invoice to Buyer for the amount due for Product delivered during such month. The invoice shall include all information necessary to confirm the amount due.</w:t>
            </w:r>
          </w:p>
          <w:p w14:paraId="61BACA2D" w14:textId="26444E01" w:rsidR="00AD12F8" w:rsidRPr="00334BFE" w:rsidRDefault="00AD12F8" w:rsidP="00AD12F8">
            <w:pPr>
              <w:spacing w:before="120" w:after="120"/>
              <w:jc w:val="both"/>
              <w:outlineLvl w:val="3"/>
            </w:pPr>
            <w:r w:rsidRPr="00334BFE">
              <w:t>Payment for undisputed amounts shall be due to the applicable party thirty (30) days from the invoice date, with disputed payments subject to Buyer’s billing dispute process.</w:t>
            </w:r>
          </w:p>
          <w:p w14:paraId="114B9F5A" w14:textId="68C46ED9" w:rsidR="00AD12F8" w:rsidRPr="00334BFE" w:rsidRDefault="00AD12F8" w:rsidP="00AD12F8">
            <w:pPr>
              <w:spacing w:before="120" w:after="120"/>
              <w:jc w:val="both"/>
            </w:pPr>
            <w:r w:rsidRPr="00334BFE">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original due date to but excluding the date paid. </w:t>
            </w:r>
            <w:r w:rsidRPr="00334BFE">
              <w:lastRenderedPageBreak/>
              <w:t>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if the other Party is not notified in accordance with the ESA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tc>
      </w:tr>
      <w:tr w:rsidR="00AD12F8" w:rsidRPr="00334BFE" w14:paraId="31D7CEFC" w14:textId="77777777" w:rsidTr="0080155D">
        <w:tc>
          <w:tcPr>
            <w:tcW w:w="3055" w:type="dxa"/>
          </w:tcPr>
          <w:p w14:paraId="700D1C0D" w14:textId="3E912ED2" w:rsidR="00AD12F8" w:rsidRPr="00334BFE" w:rsidRDefault="00AD12F8" w:rsidP="00AD12F8">
            <w:pPr>
              <w:spacing w:before="120"/>
              <w:rPr>
                <w:b/>
              </w:rPr>
            </w:pPr>
            <w:r w:rsidRPr="00334BFE">
              <w:rPr>
                <w:b/>
              </w:rPr>
              <w:lastRenderedPageBreak/>
              <w:t xml:space="preserve">Operations and Maintenance: </w:t>
            </w:r>
          </w:p>
        </w:tc>
        <w:tc>
          <w:tcPr>
            <w:tcW w:w="6295" w:type="dxa"/>
          </w:tcPr>
          <w:p w14:paraId="41FA13D6" w14:textId="5C9F318B" w:rsidR="00AD12F8" w:rsidRPr="00334BFE" w:rsidRDefault="00AD12F8" w:rsidP="0098039F">
            <w:pPr>
              <w:spacing w:before="120" w:after="120"/>
              <w:jc w:val="both"/>
            </w:pPr>
            <w:r w:rsidRPr="00334BFE">
              <w:t xml:space="preserve">Seller shall not during the months of June through September inclusive schedule any non-emergency maintenance that reduces the </w:t>
            </w:r>
            <w:r w:rsidR="005A5B1F" w:rsidRPr="00334BFE">
              <w:t>energy storage</w:t>
            </w:r>
            <w:r w:rsidRPr="00334BFE">
              <w:t xml:space="preserve"> capability of the </w:t>
            </w:r>
            <w:r w:rsidR="00D7172B" w:rsidRPr="00334BFE">
              <w:t>Storage Facility</w:t>
            </w:r>
            <w:r w:rsidRPr="00334BFE">
              <w:t xml:space="preserve"> by more than ten percent (10%), unless (i) such outage is required to avoid damage to the </w:t>
            </w:r>
            <w:r w:rsidR="00D7172B" w:rsidRPr="00334BFE">
              <w:t>Storage Facility</w:t>
            </w:r>
            <w:r w:rsidRPr="00334BFE">
              <w:t>, (ii) such maintenance is necessary to maintain equipment warranties and cannot be scheduled outside the months of June through September, (iii) such outage is required in accordance with prudent electrical practices, or (iv) the Parties agree otherwise in writing.</w:t>
            </w:r>
          </w:p>
        </w:tc>
      </w:tr>
      <w:tr w:rsidR="00AD12F8" w:rsidRPr="00334BFE" w14:paraId="46B1EB53" w14:textId="77777777" w:rsidTr="0080155D">
        <w:tc>
          <w:tcPr>
            <w:tcW w:w="3055" w:type="dxa"/>
          </w:tcPr>
          <w:p w14:paraId="7484A188" w14:textId="30981CA9" w:rsidR="00AD12F8" w:rsidRPr="00334BFE" w:rsidRDefault="00AD12F8" w:rsidP="00AD12F8">
            <w:pPr>
              <w:spacing w:before="120"/>
              <w:rPr>
                <w:b/>
              </w:rPr>
            </w:pPr>
            <w:r w:rsidRPr="00334BFE">
              <w:rPr>
                <w:b/>
              </w:rPr>
              <w:t>Progress Reporting:</w:t>
            </w:r>
          </w:p>
        </w:tc>
        <w:tc>
          <w:tcPr>
            <w:tcW w:w="6295" w:type="dxa"/>
          </w:tcPr>
          <w:p w14:paraId="2017A8C2" w14:textId="662637E7" w:rsidR="00AD12F8" w:rsidRPr="00334BFE" w:rsidRDefault="00AD12F8" w:rsidP="0098039F">
            <w:pPr>
              <w:spacing w:before="120" w:after="120"/>
              <w:jc w:val="both"/>
            </w:pPr>
            <w:r w:rsidRPr="00334BFE">
              <w:t xml:space="preserve">After execution of the ESA, Seller shall provide a monthly report to Buyer that (a) describes the progress towards meeting the </w:t>
            </w:r>
            <w:r w:rsidR="00D7172B" w:rsidRPr="00334BFE">
              <w:t>Storage Facility</w:t>
            </w:r>
            <w:r w:rsidRPr="00334BFE">
              <w:t xml:space="preserve"> Development Milestones; (b) identifies any missed </w:t>
            </w:r>
            <w:r w:rsidR="00D7172B" w:rsidRPr="00334BFE">
              <w:t>Storage Facility</w:t>
            </w:r>
            <w:r w:rsidRPr="00334BFE">
              <w:t xml:space="preserve"> Development Milestones, </w:t>
            </w:r>
            <w:r w:rsidRPr="00334BFE">
              <w:rPr>
                <w:rFonts w:eastAsia="Batang"/>
                <w:color w:val="000000"/>
                <w:w w:val="0"/>
              </w:rPr>
              <w:t xml:space="preserve">including the cause of the delay; and (c) provides a </w:t>
            </w:r>
            <w:r w:rsidRPr="00334BFE">
              <w:t xml:space="preserve">detailed description of Seller’s corrective actions to achieve the missed </w:t>
            </w:r>
            <w:r w:rsidR="00D7172B" w:rsidRPr="00334BFE">
              <w:t>Storage Facility</w:t>
            </w:r>
            <w:r w:rsidRPr="00334BFE">
              <w:t xml:space="preserve"> Development Milestones and all subsequent </w:t>
            </w:r>
            <w:r w:rsidR="00D7172B" w:rsidRPr="00334BFE">
              <w:t>Storage Facility</w:t>
            </w:r>
            <w:r w:rsidRPr="00334BFE">
              <w:t xml:space="preserve"> Development Milestones by the Guaranteed Commercial Operation Date.  </w:t>
            </w:r>
          </w:p>
        </w:tc>
      </w:tr>
      <w:tr w:rsidR="00AD12F8" w:rsidRPr="00334BFE" w14:paraId="391759C9" w14:textId="77777777" w:rsidTr="0080155D">
        <w:tc>
          <w:tcPr>
            <w:tcW w:w="3055" w:type="dxa"/>
          </w:tcPr>
          <w:p w14:paraId="329DA89E" w14:textId="5690471A" w:rsidR="00AD12F8" w:rsidRPr="00334BFE" w:rsidRDefault="00AD12F8" w:rsidP="00AD12F8">
            <w:pPr>
              <w:spacing w:before="120"/>
              <w:rPr>
                <w:b/>
              </w:rPr>
            </w:pPr>
            <w:r w:rsidRPr="00334BFE">
              <w:rPr>
                <w:b/>
              </w:rPr>
              <w:t>Credit Requirements:</w:t>
            </w:r>
          </w:p>
        </w:tc>
        <w:tc>
          <w:tcPr>
            <w:tcW w:w="6295" w:type="dxa"/>
            <w:shd w:val="clear" w:color="auto" w:fill="auto"/>
          </w:tcPr>
          <w:p w14:paraId="655A8A97" w14:textId="77777777" w:rsidR="00AD12F8" w:rsidRPr="00334BFE" w:rsidRDefault="00AD12F8" w:rsidP="0098039F">
            <w:pPr>
              <w:spacing w:before="120" w:after="120"/>
              <w:jc w:val="both"/>
            </w:pPr>
            <w:r w:rsidRPr="00334BFE">
              <w:t>The Seller shall post security as follows:</w:t>
            </w:r>
          </w:p>
          <w:p w14:paraId="4BF85FE9" w14:textId="3E72C1DC" w:rsidR="00AD12F8" w:rsidRPr="00334BFE" w:rsidRDefault="00AD12F8" w:rsidP="0098039F">
            <w:pPr>
              <w:spacing w:before="120" w:after="120"/>
              <w:jc w:val="both"/>
              <w:rPr>
                <w:u w:val="single"/>
              </w:rPr>
            </w:pPr>
            <w:r w:rsidRPr="00334BFE">
              <w:rPr>
                <w:b/>
                <w:bCs/>
                <w:u w:val="single"/>
              </w:rPr>
              <w:t>Development Security</w:t>
            </w:r>
            <w:r w:rsidRPr="00334BFE">
              <w:t xml:space="preserve"> – $90,000 per MW of Contract Capacity</w:t>
            </w:r>
            <w:r w:rsidRPr="00334BFE">
              <w:rPr>
                <w:i/>
              </w:rPr>
              <w:t xml:space="preserve"> </w:t>
            </w:r>
          </w:p>
          <w:p w14:paraId="406639CE" w14:textId="27953A68" w:rsidR="002E5D17" w:rsidRPr="00334BFE" w:rsidRDefault="002E5D17" w:rsidP="0098039F">
            <w:pPr>
              <w:spacing w:before="120" w:after="120"/>
              <w:jc w:val="both"/>
              <w:rPr>
                <w:u w:val="single"/>
              </w:rPr>
            </w:pPr>
            <w:r w:rsidRPr="00334BFE">
              <w:rPr>
                <w:b/>
                <w:bCs/>
                <w:u w:val="single"/>
              </w:rPr>
              <w:t>Performance Security</w:t>
            </w:r>
            <w:r w:rsidR="00AD12F8" w:rsidRPr="00334BFE">
              <w:t xml:space="preserve"> – $105,000 per MW of Contract Capacity</w:t>
            </w:r>
            <w:r w:rsidR="00AD12F8" w:rsidRPr="00334BFE">
              <w:rPr>
                <w:i/>
              </w:rPr>
              <w:t xml:space="preserve"> </w:t>
            </w:r>
          </w:p>
          <w:p w14:paraId="628FF808" w14:textId="645F8B0C" w:rsidR="002E5D17" w:rsidRPr="00334BFE" w:rsidRDefault="002E5D17" w:rsidP="0098039F">
            <w:pPr>
              <w:spacing w:before="120" w:after="120"/>
              <w:jc w:val="both"/>
              <w:rPr>
                <w:color w:val="000000"/>
              </w:rPr>
            </w:pPr>
            <w:r w:rsidRPr="00334BFE">
              <w:rPr>
                <w:color w:val="000000"/>
              </w:rPr>
              <w:t xml:space="preserve">To secure its obligations under this ESA, Seller shall deliver the Development Security to Buyer within thirty (30) days of the </w:t>
            </w:r>
            <w:r w:rsidRPr="00334BFE">
              <w:rPr>
                <w:color w:val="000000"/>
              </w:rPr>
              <w:lastRenderedPageBreak/>
              <w:t>Effective Date.  Development Security shall be in the form of cash or a Letter of Credit.</w:t>
            </w:r>
          </w:p>
          <w:p w14:paraId="482B4650" w14:textId="09D8BA96" w:rsidR="002E5D17" w:rsidRPr="00334BFE" w:rsidRDefault="002E5D17" w:rsidP="0098039F">
            <w:pPr>
              <w:spacing w:before="120" w:after="120"/>
              <w:jc w:val="both"/>
              <w:rPr>
                <w:color w:val="000000"/>
              </w:rPr>
            </w:pPr>
            <w:r w:rsidRPr="00334BFE">
              <w:rPr>
                <w:color w:val="000000"/>
              </w:rPr>
              <w:t xml:space="preserve">Within five (5) Business Days following any draw by Buyer on the Development Security or the </w:t>
            </w:r>
            <w:r w:rsidR="00D7172B" w:rsidRPr="00334BFE">
              <w:rPr>
                <w:color w:val="000000"/>
              </w:rPr>
              <w:t>Performance</w:t>
            </w:r>
            <w:r w:rsidRPr="00334BFE">
              <w:rPr>
                <w:color w:val="000000"/>
              </w:rPr>
              <w:t xml:space="preserve"> Security, Seller shall replenish the amount drawn such that the security is restored to the applicable amount.</w:t>
            </w:r>
          </w:p>
          <w:p w14:paraId="3BD36D5D" w14:textId="45737E40" w:rsidR="00AD12F8" w:rsidRPr="00334BFE" w:rsidRDefault="002E5D17" w:rsidP="0098039F">
            <w:pPr>
              <w:spacing w:before="120" w:after="120"/>
              <w:jc w:val="both"/>
              <w:rPr>
                <w:color w:val="000000"/>
              </w:rPr>
            </w:pPr>
            <w:r w:rsidRPr="00334BFE">
              <w:rPr>
                <w:color w:val="000000"/>
              </w:rPr>
              <w:t>To secure its obligations under this ESA, Seller shall deliver Performance Security to Buyer on or before the Commercial Operation Date.</w:t>
            </w:r>
          </w:p>
        </w:tc>
      </w:tr>
      <w:tr w:rsidR="00AD12F8" w:rsidRPr="00334BFE" w14:paraId="40CFF784" w14:textId="77777777" w:rsidTr="0080155D">
        <w:tc>
          <w:tcPr>
            <w:tcW w:w="3055" w:type="dxa"/>
          </w:tcPr>
          <w:p w14:paraId="3AF6EDC8" w14:textId="780483C3" w:rsidR="00AD12F8" w:rsidRPr="00334BFE" w:rsidRDefault="00AD12F8" w:rsidP="00AD12F8">
            <w:pPr>
              <w:spacing w:before="120"/>
              <w:rPr>
                <w:b/>
              </w:rPr>
            </w:pPr>
            <w:r w:rsidRPr="00334BFE">
              <w:rPr>
                <w:b/>
              </w:rPr>
              <w:lastRenderedPageBreak/>
              <w:t>Prevailing Wage:</w:t>
            </w:r>
          </w:p>
        </w:tc>
        <w:tc>
          <w:tcPr>
            <w:tcW w:w="6295" w:type="dxa"/>
          </w:tcPr>
          <w:p w14:paraId="2E0CEC3F" w14:textId="77777777" w:rsidR="00AD12F8" w:rsidRPr="00334BFE" w:rsidRDefault="00AD12F8" w:rsidP="0098039F">
            <w:pPr>
              <w:spacing w:before="120" w:after="120"/>
              <w:jc w:val="both"/>
            </w:pPr>
            <w:r w:rsidRPr="00334BFE">
              <w:t>Seller shall comply with all federal, state and local laws, statutes, ordinances, rules and regulations, and the orders and decrees of any courts or administrative bodies or tribunals, including, without limitation employment discrimination laws and prevailing wage laws.</w:t>
            </w:r>
          </w:p>
        </w:tc>
      </w:tr>
      <w:tr w:rsidR="00F73C91" w:rsidRPr="00334BFE" w14:paraId="169C340C" w14:textId="77777777" w:rsidTr="0080155D">
        <w:tc>
          <w:tcPr>
            <w:tcW w:w="3055" w:type="dxa"/>
          </w:tcPr>
          <w:p w14:paraId="72028BFB" w14:textId="3E537FB5" w:rsidR="00F73C91" w:rsidRPr="00334BFE" w:rsidRDefault="00F73C91" w:rsidP="00AD12F8">
            <w:pPr>
              <w:spacing w:before="120"/>
              <w:rPr>
                <w:b/>
              </w:rPr>
            </w:pPr>
            <w:r>
              <w:rPr>
                <w:b/>
              </w:rPr>
              <w:t>Diversity Reporting:</w:t>
            </w:r>
          </w:p>
        </w:tc>
        <w:tc>
          <w:tcPr>
            <w:tcW w:w="6295" w:type="dxa"/>
          </w:tcPr>
          <w:p w14:paraId="66C109A7" w14:textId="35D9D24A" w:rsidR="00F73C91" w:rsidRPr="00334BFE" w:rsidRDefault="00F73C91" w:rsidP="0098039F">
            <w:pPr>
              <w:spacing w:before="120" w:after="120"/>
              <w:jc w:val="both"/>
            </w:pPr>
            <w:r>
              <w:t xml:space="preserve">Seller shall be required under the ESA to </w:t>
            </w:r>
            <w:r w:rsidRPr="008924F7">
              <w:t xml:space="preserve">complete the Supplier Diversity and Labor Practices questionnaire in MCE’s Offer Form, or a similar </w:t>
            </w:r>
            <w:r>
              <w:t>questionnaire</w:t>
            </w:r>
            <w:r w:rsidRPr="00201C8F">
              <w:t xml:space="preserve">, </w:t>
            </w:r>
            <w:r>
              <w:t xml:space="preserve">and agrees to comply with </w:t>
            </w:r>
            <w:r w:rsidRPr="00201C8F">
              <w:t>similar regular reporting requirements</w:t>
            </w:r>
            <w:r>
              <w:t xml:space="preserve"> related to diversity and labor practices.</w:t>
            </w:r>
          </w:p>
        </w:tc>
      </w:tr>
      <w:tr w:rsidR="00AD12F8" w:rsidRPr="00334BFE" w14:paraId="0D242E40" w14:textId="77777777" w:rsidTr="0080155D">
        <w:tc>
          <w:tcPr>
            <w:tcW w:w="3055" w:type="dxa"/>
            <w:tcBorders>
              <w:bottom w:val="single" w:sz="4" w:space="0" w:color="auto"/>
            </w:tcBorders>
          </w:tcPr>
          <w:p w14:paraId="1F93DAA6" w14:textId="0B0608C8" w:rsidR="00AD12F8" w:rsidRPr="00334BFE" w:rsidRDefault="00AD12F8" w:rsidP="00AD12F8">
            <w:pPr>
              <w:spacing w:before="120"/>
              <w:rPr>
                <w:b/>
              </w:rPr>
            </w:pPr>
            <w:r w:rsidRPr="00334BFE">
              <w:rPr>
                <w:b/>
              </w:rPr>
              <w:t>Assignment:</w:t>
            </w:r>
          </w:p>
          <w:p w14:paraId="0637D033" w14:textId="77777777" w:rsidR="00AD12F8" w:rsidRPr="00334BFE" w:rsidRDefault="00AD12F8" w:rsidP="00AD12F8">
            <w:pPr>
              <w:spacing w:before="120"/>
              <w:rPr>
                <w:b/>
              </w:rPr>
            </w:pPr>
          </w:p>
        </w:tc>
        <w:tc>
          <w:tcPr>
            <w:tcW w:w="6295" w:type="dxa"/>
            <w:tcBorders>
              <w:bottom w:val="single" w:sz="4" w:space="0" w:color="auto"/>
            </w:tcBorders>
          </w:tcPr>
          <w:p w14:paraId="3D16FDB5" w14:textId="23ECB763" w:rsidR="00AD12F8" w:rsidRPr="00334BFE" w:rsidRDefault="00AD12F8" w:rsidP="00AD12F8">
            <w:pPr>
              <w:spacing w:before="120" w:after="120"/>
              <w:jc w:val="both"/>
            </w:pPr>
            <w:r w:rsidRPr="00334BFE">
              <w:t xml:space="preserve">Neither party may assign the ESA without prior written consent of the other party, which shall not be unreasonably withheld. </w:t>
            </w:r>
          </w:p>
          <w:p w14:paraId="360FE4B1" w14:textId="6AD048A4" w:rsidR="00AD12F8" w:rsidRPr="00334BFE" w:rsidRDefault="00AD12F8" w:rsidP="00AD12F8">
            <w:pPr>
              <w:spacing w:before="120" w:after="120"/>
              <w:jc w:val="both"/>
            </w:pPr>
            <w:r w:rsidRPr="00334BFE">
              <w:t>Any direct or indirect change of control of Seller (whether voluntary or by operation of law) will be deemed an assignment and will require the prior written consent of Buyer, which shall not be unreasonably withheld.</w:t>
            </w:r>
            <w:r w:rsidRPr="00334BFE" w:rsidDel="006A3E3C">
              <w:t xml:space="preserve"> </w:t>
            </w:r>
          </w:p>
          <w:p w14:paraId="19B34329" w14:textId="7B12E99E" w:rsidR="00AD12F8" w:rsidRPr="00334BFE" w:rsidRDefault="00AD12F8" w:rsidP="00AD12F8">
            <w:pPr>
              <w:spacing w:before="120" w:after="120"/>
              <w:jc w:val="both"/>
            </w:pPr>
            <w:r w:rsidRPr="00334BFE">
              <w:t xml:space="preserve">Seller shall pay Buyer’s out of pocket expenses, including reasonable attorneys’ fees, incurred to provide consents, estoppels, or other required documentation in connection with Seller’s financing for the </w:t>
            </w:r>
            <w:r w:rsidR="00D7172B" w:rsidRPr="00334BFE">
              <w:t>Storage Facility</w:t>
            </w:r>
            <w:r w:rsidRPr="00334BFE">
              <w:t>. Buyer will have no obligation to provide any consent, or enter into any agreement, that materially and adversely affects any of Buyer’s rights, benefits, risks or obligations under the definitive ESA.</w:t>
            </w:r>
          </w:p>
        </w:tc>
      </w:tr>
      <w:tr w:rsidR="00AD12F8" w:rsidRPr="00334BFE" w14:paraId="423B57BD" w14:textId="77777777" w:rsidTr="0080155D">
        <w:tc>
          <w:tcPr>
            <w:tcW w:w="3055" w:type="dxa"/>
            <w:tcBorders>
              <w:bottom w:val="nil"/>
            </w:tcBorders>
          </w:tcPr>
          <w:p w14:paraId="0B35B04B" w14:textId="018B9543" w:rsidR="00AD12F8" w:rsidRPr="00334BFE" w:rsidRDefault="00AD12F8" w:rsidP="00AD12F8">
            <w:pPr>
              <w:spacing w:before="120"/>
              <w:rPr>
                <w:b/>
              </w:rPr>
            </w:pPr>
            <w:r w:rsidRPr="00334BFE">
              <w:rPr>
                <w:b/>
                <w:bCs/>
              </w:rPr>
              <w:lastRenderedPageBreak/>
              <w:t>Dispute Resolution:</w:t>
            </w:r>
          </w:p>
        </w:tc>
        <w:tc>
          <w:tcPr>
            <w:tcW w:w="6295" w:type="dxa"/>
            <w:tcBorders>
              <w:bottom w:val="nil"/>
            </w:tcBorders>
          </w:tcPr>
          <w:p w14:paraId="25B8EBD0" w14:textId="6B1CB3B9" w:rsidR="00AD12F8" w:rsidRPr="00334BFE" w:rsidRDefault="00AD12F8" w:rsidP="00AD12F8">
            <w:pPr>
              <w:keepLines/>
              <w:spacing w:before="120" w:after="120"/>
              <w:jc w:val="both"/>
              <w:rPr>
                <w:w w:val="0"/>
              </w:rPr>
            </w:pPr>
            <w:r w:rsidRPr="00334BFE">
              <w:rPr>
                <w:w w:val="0"/>
              </w:rPr>
              <w:t xml:space="preserve">In the event of any dispute arising under the ESA, within ten (10) days following the receipt of a written notice from either Party identifying such dispute, the authorized members of the Parties’ senior management shall meet, negotiate and attempt, in good faith, to resolve the dispute quickly, informally and inexpensively. If the Parties are unable to resolve a dispute arising hereunder within thirty (30) days of initiating such discussions, the parties shall submit the dispute to mediation prior to seeking any and all remediates available to it at Law in or equity. </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6300"/>
      </w:tblGrid>
      <w:tr w:rsidR="00E87731" w:rsidRPr="00334BFE" w14:paraId="2EA29587" w14:textId="77777777" w:rsidTr="0080155D">
        <w:tc>
          <w:tcPr>
            <w:tcW w:w="3055" w:type="dxa"/>
            <w:tcBorders>
              <w:top w:val="single" w:sz="4" w:space="0" w:color="auto"/>
              <w:left w:val="single" w:sz="4" w:space="0" w:color="auto"/>
              <w:bottom w:val="single" w:sz="4" w:space="0" w:color="auto"/>
              <w:right w:val="single" w:sz="4" w:space="0" w:color="auto"/>
            </w:tcBorders>
          </w:tcPr>
          <w:p w14:paraId="3260C2CE" w14:textId="62E9CC15" w:rsidR="00E87731" w:rsidRPr="00334BFE" w:rsidRDefault="00E87731" w:rsidP="00A6184C">
            <w:pPr>
              <w:keepNext/>
              <w:keepLines/>
              <w:spacing w:before="120"/>
              <w:rPr>
                <w:b/>
                <w:bCs/>
              </w:rPr>
            </w:pPr>
            <w:r w:rsidRPr="00334BFE">
              <w:rPr>
                <w:b/>
                <w:bCs/>
              </w:rPr>
              <w:t>Confidentiality</w:t>
            </w:r>
            <w:r w:rsidR="004C21D8" w:rsidRPr="00334BFE">
              <w:rPr>
                <w:b/>
                <w:bCs/>
              </w:rPr>
              <w:t>:</w:t>
            </w:r>
          </w:p>
        </w:tc>
        <w:tc>
          <w:tcPr>
            <w:tcW w:w="6300" w:type="dxa"/>
            <w:tcBorders>
              <w:top w:val="single" w:sz="4" w:space="0" w:color="auto"/>
              <w:left w:val="single" w:sz="4" w:space="0" w:color="auto"/>
              <w:bottom w:val="single" w:sz="4" w:space="0" w:color="auto"/>
              <w:right w:val="single" w:sz="4" w:space="0" w:color="auto"/>
            </w:tcBorders>
          </w:tcPr>
          <w:p w14:paraId="451E189A" w14:textId="03B0F8CB" w:rsidR="00E87731" w:rsidRPr="00334BFE" w:rsidRDefault="002F0E60" w:rsidP="00106528">
            <w:pPr>
              <w:keepLines/>
              <w:spacing w:before="120" w:after="120"/>
              <w:jc w:val="both"/>
            </w:pPr>
            <w:r w:rsidRPr="00334BFE">
              <w:t xml:space="preserve">Upon shortlisting, Seller shall execute a Mutual Non-Disclosure Agreement with </w:t>
            </w:r>
            <w:r w:rsidR="00826AE6" w:rsidRPr="00334BFE">
              <w:t>Buyer</w:t>
            </w:r>
            <w:r w:rsidRPr="00334BFE">
              <w:t>.</w:t>
            </w:r>
            <w:r w:rsidR="008E6DC1" w:rsidRPr="00334BFE">
              <w:t xml:space="preserve"> </w:t>
            </w:r>
            <w:r w:rsidR="00E87731" w:rsidRPr="00334BFE">
              <w:t xml:space="preserve"> </w:t>
            </w:r>
          </w:p>
        </w:tc>
      </w:tr>
      <w:tr w:rsidR="00E87731" w:rsidRPr="00334BFE" w14:paraId="15DA8487" w14:textId="77777777" w:rsidTr="0080155D">
        <w:tc>
          <w:tcPr>
            <w:tcW w:w="3055" w:type="dxa"/>
            <w:tcBorders>
              <w:top w:val="single" w:sz="4" w:space="0" w:color="auto"/>
              <w:left w:val="single" w:sz="4" w:space="0" w:color="auto"/>
              <w:bottom w:val="single" w:sz="4" w:space="0" w:color="auto"/>
              <w:right w:val="single" w:sz="4" w:space="0" w:color="auto"/>
            </w:tcBorders>
          </w:tcPr>
          <w:p w14:paraId="2E4F1DC2" w14:textId="3E4729EE" w:rsidR="00E87731" w:rsidRPr="00334BFE" w:rsidRDefault="00E87731" w:rsidP="00A6184C">
            <w:pPr>
              <w:spacing w:before="120"/>
              <w:rPr>
                <w:b/>
                <w:bCs/>
              </w:rPr>
            </w:pPr>
            <w:bookmarkStart w:id="0" w:name="_DV_M5"/>
            <w:bookmarkEnd w:id="0"/>
            <w:r w:rsidRPr="00334BFE">
              <w:rPr>
                <w:b/>
                <w:bCs/>
              </w:rPr>
              <w:t>Exclusivity</w:t>
            </w:r>
            <w:r w:rsidR="004C21D8" w:rsidRPr="00334BFE">
              <w:rPr>
                <w:b/>
                <w:bCs/>
              </w:rPr>
              <w:t>:</w:t>
            </w:r>
          </w:p>
        </w:tc>
        <w:tc>
          <w:tcPr>
            <w:tcW w:w="6300" w:type="dxa"/>
            <w:tcBorders>
              <w:top w:val="single" w:sz="4" w:space="0" w:color="auto"/>
              <w:left w:val="single" w:sz="4" w:space="0" w:color="auto"/>
              <w:bottom w:val="single" w:sz="4" w:space="0" w:color="auto"/>
              <w:right w:val="single" w:sz="4" w:space="0" w:color="auto"/>
            </w:tcBorders>
          </w:tcPr>
          <w:p w14:paraId="2C355A6B" w14:textId="746A42A1" w:rsidR="00E87731" w:rsidRPr="00334BFE" w:rsidRDefault="002F0E60" w:rsidP="00106528">
            <w:pPr>
              <w:keepLines/>
              <w:spacing w:before="120" w:after="120"/>
              <w:jc w:val="both"/>
            </w:pPr>
            <w:r w:rsidRPr="00334BFE">
              <w:t xml:space="preserve">Upon shortlisting, Seller shall execute an Exclusive Negotiating Agreement with </w:t>
            </w:r>
            <w:r w:rsidR="00826AE6" w:rsidRPr="00334BFE">
              <w:t>Buyer</w:t>
            </w:r>
            <w:r w:rsidRPr="00334BFE">
              <w:t xml:space="preserve">. </w:t>
            </w:r>
          </w:p>
        </w:tc>
      </w:tr>
      <w:tr w:rsidR="00D30F3E" w:rsidRPr="00334BFE" w14:paraId="0467DAA1" w14:textId="77777777" w:rsidTr="0080155D">
        <w:tc>
          <w:tcPr>
            <w:tcW w:w="3055" w:type="dxa"/>
            <w:tcBorders>
              <w:top w:val="single" w:sz="4" w:space="0" w:color="auto"/>
              <w:left w:val="single" w:sz="4" w:space="0" w:color="auto"/>
              <w:bottom w:val="single" w:sz="4" w:space="0" w:color="auto"/>
              <w:right w:val="single" w:sz="4" w:space="0" w:color="auto"/>
            </w:tcBorders>
          </w:tcPr>
          <w:p w14:paraId="514C591A" w14:textId="4B206EC5" w:rsidR="00D30F3E" w:rsidRPr="00334BFE" w:rsidRDefault="00D30F3E" w:rsidP="00A6184C">
            <w:pPr>
              <w:spacing w:before="120"/>
              <w:rPr>
                <w:b/>
                <w:bCs/>
              </w:rPr>
            </w:pPr>
            <w:r w:rsidRPr="00334BFE">
              <w:rPr>
                <w:b/>
              </w:rPr>
              <w:t>No Recourse to Members of Buyer</w:t>
            </w:r>
            <w:r w:rsidR="004C21D8" w:rsidRPr="00334BFE">
              <w:rPr>
                <w:b/>
              </w:rPr>
              <w:t>:</w:t>
            </w:r>
          </w:p>
        </w:tc>
        <w:tc>
          <w:tcPr>
            <w:tcW w:w="6300" w:type="dxa"/>
            <w:tcBorders>
              <w:top w:val="single" w:sz="4" w:space="0" w:color="auto"/>
              <w:left w:val="single" w:sz="4" w:space="0" w:color="auto"/>
              <w:bottom w:val="single" w:sz="4" w:space="0" w:color="auto"/>
              <w:right w:val="single" w:sz="4" w:space="0" w:color="auto"/>
            </w:tcBorders>
          </w:tcPr>
          <w:p w14:paraId="79030871" w14:textId="4D9EB1D3" w:rsidR="00D30F3E" w:rsidRPr="00334BFE" w:rsidRDefault="00D30F3E" w:rsidP="00106528">
            <w:pPr>
              <w:keepLines/>
              <w:spacing w:before="120" w:after="120"/>
              <w:jc w:val="both"/>
            </w:pPr>
            <w:r w:rsidRPr="00334BFE">
              <w:t>Buyer</w:t>
            </w:r>
            <w:r w:rsidR="00826AE6" w:rsidRPr="00334BFE">
              <w:t xml:space="preserve"> is</w:t>
            </w:r>
            <w:r w:rsidRPr="00334BFE">
              <w:t xml:space="preserve"> organized as a Joint Powers Authorit</w:t>
            </w:r>
            <w:r w:rsidR="000D50B2" w:rsidRPr="00334BFE">
              <w:t xml:space="preserve">ies </w:t>
            </w:r>
            <w:r w:rsidRPr="00334BFE">
              <w:t xml:space="preserve">in accordance with the Joint Exercise of Powers Act of the State of California (Government Code Section 6500, et seq.) pursuant to </w:t>
            </w:r>
            <w:r w:rsidR="00826AE6" w:rsidRPr="00334BFE">
              <w:t>its</w:t>
            </w:r>
            <w:r w:rsidRPr="00334BFE">
              <w:t xml:space="preserve"> Joint Powers Agreement and </w:t>
            </w:r>
            <w:r w:rsidR="00826AE6" w:rsidRPr="00334BFE">
              <w:t>is a</w:t>
            </w:r>
            <w:r w:rsidRPr="00334BFE">
              <w:t xml:space="preserve"> public entit</w:t>
            </w:r>
            <w:r w:rsidR="00826AE6" w:rsidRPr="00334BFE">
              <w:t>y</w:t>
            </w:r>
            <w:r w:rsidRPr="00334BFE">
              <w:t xml:space="preserve"> separate from </w:t>
            </w:r>
            <w:r w:rsidR="00826AE6" w:rsidRPr="00334BFE">
              <w:t>its</w:t>
            </w:r>
            <w:r w:rsidRPr="00334BFE">
              <w:t xml:space="preserve"> constituent members.</w:t>
            </w:r>
            <w:r w:rsidR="008E6DC1" w:rsidRPr="00334BFE">
              <w:t xml:space="preserve"> </w:t>
            </w:r>
            <w:r w:rsidRPr="00334BFE">
              <w:t>Buyer shall solely be responsible for all debts, obligations and liabilities accruing and arising out of this Agreement.</w:t>
            </w:r>
            <w:r w:rsidR="008E6DC1" w:rsidRPr="00334BFE">
              <w:t xml:space="preserve"> </w:t>
            </w:r>
            <w:r w:rsidRPr="00334BFE">
              <w:t xml:space="preserve">Seller shall have no rights and shall not make any claims, take any actions or assert any remedies against any of </w:t>
            </w:r>
            <w:r w:rsidR="00A9011A" w:rsidRPr="00334BFE">
              <w:t>Buyer’s</w:t>
            </w:r>
            <w:r w:rsidRPr="00334BFE">
              <w:t xml:space="preserve"> constituent members in connection with this Agreement.</w:t>
            </w:r>
          </w:p>
        </w:tc>
      </w:tr>
      <w:tr w:rsidR="00D30F3E" w:rsidRPr="00334BFE" w14:paraId="00FB12AE" w14:textId="77777777" w:rsidTr="0080155D">
        <w:tc>
          <w:tcPr>
            <w:tcW w:w="3055" w:type="dxa"/>
            <w:tcBorders>
              <w:top w:val="single" w:sz="4" w:space="0" w:color="auto"/>
              <w:left w:val="single" w:sz="4" w:space="0" w:color="auto"/>
              <w:bottom w:val="single" w:sz="4" w:space="0" w:color="auto"/>
              <w:right w:val="single" w:sz="4" w:space="0" w:color="auto"/>
            </w:tcBorders>
          </w:tcPr>
          <w:p w14:paraId="42BD04BD" w14:textId="36465734" w:rsidR="00D30F3E" w:rsidRPr="00334BFE" w:rsidRDefault="00D30F3E" w:rsidP="00A6184C">
            <w:pPr>
              <w:spacing w:before="120"/>
              <w:rPr>
                <w:b/>
              </w:rPr>
            </w:pPr>
            <w:r w:rsidRPr="00334BFE">
              <w:rPr>
                <w:b/>
              </w:rPr>
              <w:t>Force Majeure</w:t>
            </w:r>
            <w:r w:rsidR="004C21D8" w:rsidRPr="00334BFE">
              <w:rPr>
                <w:b/>
              </w:rPr>
              <w:t>:</w:t>
            </w:r>
          </w:p>
        </w:tc>
        <w:tc>
          <w:tcPr>
            <w:tcW w:w="6300" w:type="dxa"/>
            <w:tcBorders>
              <w:top w:val="single" w:sz="4" w:space="0" w:color="auto"/>
              <w:left w:val="single" w:sz="4" w:space="0" w:color="auto"/>
              <w:bottom w:val="single" w:sz="4" w:space="0" w:color="auto"/>
              <w:right w:val="single" w:sz="4" w:space="0" w:color="auto"/>
            </w:tcBorders>
          </w:tcPr>
          <w:p w14:paraId="234F8B89" w14:textId="77777777" w:rsidR="00D30F3E" w:rsidRPr="00334BFE" w:rsidRDefault="00D30F3E" w:rsidP="0098039F">
            <w:pPr>
              <w:pStyle w:val="ArticleL3"/>
              <w:numPr>
                <w:ilvl w:val="0"/>
                <w:numId w:val="37"/>
              </w:numPr>
              <w:spacing w:before="120" w:after="120"/>
              <w:ind w:left="346"/>
              <w:rPr>
                <w:szCs w:val="24"/>
              </w:rPr>
            </w:pPr>
            <w:r w:rsidRPr="00334BFE">
              <w:rPr>
                <w:szCs w:val="24"/>
              </w:rPr>
              <w:t>“</w:t>
            </w:r>
            <w:r w:rsidRPr="00334BFE">
              <w:rPr>
                <w:b/>
                <w:bCs/>
                <w:szCs w:val="24"/>
                <w:u w:val="single"/>
              </w:rPr>
              <w:t>Force Majeure Event</w:t>
            </w:r>
            <w:r w:rsidRPr="00334BFE">
              <w:rPr>
                <w:szCs w:val="24"/>
              </w:rPr>
              <w:t>” means any act or event that delays or prevents a Party from timely performing all or a portion of its obligations under this Agreement or from complying with all or a portion of the conditions under this Agreement if such act or event, despite the exercise of reasonable efforts, cannot be avoided by and is beyond the reasonable control (whether direct or indirect) of and without the fault or negligence of the Party relying thereon as justification for such delay, nonperformance, or noncompliance.</w:t>
            </w:r>
          </w:p>
          <w:p w14:paraId="3DA8DE10" w14:textId="77777777" w:rsidR="00D30F3E" w:rsidRPr="00334BFE" w:rsidRDefault="00D30F3E" w:rsidP="0098039F">
            <w:pPr>
              <w:pStyle w:val="ArticleL3"/>
              <w:numPr>
                <w:ilvl w:val="0"/>
                <w:numId w:val="37"/>
              </w:numPr>
              <w:spacing w:before="120" w:after="120"/>
              <w:ind w:left="346"/>
              <w:rPr>
                <w:szCs w:val="24"/>
              </w:rPr>
            </w:pPr>
            <w:r w:rsidRPr="00334BFE">
              <w:rPr>
                <w:szCs w:val="24"/>
              </w:rPr>
              <w:t xml:space="preserve">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w:t>
            </w:r>
            <w:r w:rsidRPr="00334BFE">
              <w:rPr>
                <w:szCs w:val="24"/>
              </w:rPr>
              <w:lastRenderedPageBreak/>
              <w:t xml:space="preserve">storms; explosion; fire; volcanic eruption; flood; epidemic; landslide; mudslide; sabotage; terrorism; earthquake; or other cataclysmic events; an act of public enemy; war; blockade; civil insurrection; riot; civil disturbance; or strikes or other labor difficulties caused or suffered by a Party or any third party except as set forth below. </w:t>
            </w:r>
          </w:p>
          <w:p w14:paraId="686B8C87" w14:textId="6E9307A4" w:rsidR="00D30F3E" w:rsidRPr="00334BFE" w:rsidRDefault="00D30F3E" w:rsidP="0098039F">
            <w:pPr>
              <w:pStyle w:val="Heading2"/>
              <w:numPr>
                <w:ilvl w:val="0"/>
                <w:numId w:val="0"/>
              </w:numPr>
              <w:tabs>
                <w:tab w:val="left" w:pos="1440"/>
              </w:tabs>
              <w:autoSpaceDE w:val="0"/>
              <w:autoSpaceDN w:val="0"/>
              <w:spacing w:before="120" w:after="120"/>
              <w:rPr>
                <w:b/>
                <w:bCs/>
                <w:szCs w:val="24"/>
                <w:u w:val="single"/>
              </w:rPr>
            </w:pPr>
            <w:r w:rsidRPr="00334BFE">
              <w:rPr>
                <w:szCs w:val="24"/>
              </w:rPr>
              <w:t>Notwithstanding the foregoing, the term “</w:t>
            </w:r>
            <w:r w:rsidRPr="00334BFE">
              <w:rPr>
                <w:b/>
                <w:szCs w:val="24"/>
                <w:u w:val="single"/>
              </w:rPr>
              <w:t>Force Majeure Event</w:t>
            </w:r>
            <w:r w:rsidRPr="00334BFE">
              <w:rPr>
                <w:szCs w:val="24"/>
              </w:rPr>
              <w:t xml:space="preserve">” does not include (i) economic conditions that render a Party’s performance of this Agreement at the Contract Price unprofitable or otherwise uneconomic (including Buyer’s ability to buy </w:t>
            </w:r>
            <w:r w:rsidR="005A5B1F" w:rsidRPr="00334BFE">
              <w:rPr>
                <w:szCs w:val="24"/>
              </w:rPr>
              <w:t>the Product</w:t>
            </w:r>
            <w:r w:rsidRPr="00334BFE">
              <w:rPr>
                <w:szCs w:val="24"/>
              </w:rPr>
              <w:t xml:space="preserve"> at a lower price, or Seller’s ability to sell </w:t>
            </w:r>
            <w:r w:rsidR="005A5B1F" w:rsidRPr="00334BFE">
              <w:rPr>
                <w:szCs w:val="24"/>
              </w:rPr>
              <w:t>Product</w:t>
            </w:r>
            <w:r w:rsidRPr="00334BFE">
              <w:rPr>
                <w:szCs w:val="24"/>
              </w:rPr>
              <w:t xml:space="preserve"> at a higher price, than the Contract Price); (ii) Seller’s inability to obtain permits or approvals of any type for the construction, operation, or maintenance of the </w:t>
            </w:r>
            <w:r w:rsidR="00D7172B" w:rsidRPr="00334BFE">
              <w:rPr>
                <w:szCs w:val="24"/>
              </w:rPr>
              <w:t>Storage Facility</w:t>
            </w:r>
            <w:r w:rsidRPr="00334BFE">
              <w:rPr>
                <w:szCs w:val="24"/>
              </w:rPr>
              <w:t xml:space="preserve">; (iii) the inability of a Party to make payments when due under this Agreement, unless the cause of such inability is an event that would otherwise constitute a Force Majeure Event as described above that disables physical or electronic facilities necessary to transfer funds to the payee Party; (iv) a Curtailment Period, except to the extent such Curtailment Period is caused by a Force Majeure Event; (v) Seller’s inability to obtain sufficient labor, equipment, materials, or other resources to build or operate the </w:t>
            </w:r>
            <w:r w:rsidR="00D7172B" w:rsidRPr="00334BFE">
              <w:rPr>
                <w:szCs w:val="24"/>
              </w:rPr>
              <w:t>Storage Facility</w:t>
            </w:r>
            <w:r w:rsidRPr="00334BFE">
              <w:rPr>
                <w:szCs w:val="24"/>
              </w:rPr>
              <w:t xml:space="preserve"> except to the extent such inability is caused by a Force Majeure Event; (vi) a strike, work stoppage or labor dispute limited only to any one or more of Seller, Seller’s Affiliates, Seller’s contractors, their subcontractors thereof or any other third party employed by Seller to work on the </w:t>
            </w:r>
            <w:r w:rsidR="00D7172B" w:rsidRPr="00334BFE">
              <w:rPr>
                <w:szCs w:val="24"/>
              </w:rPr>
              <w:t>Storage Facility</w:t>
            </w:r>
            <w:r w:rsidRPr="00334BFE">
              <w:rPr>
                <w:szCs w:val="24"/>
              </w:rPr>
              <w:t xml:space="preserve">; (vii) any equipment failure except if such equipment failure is caused by a Force Majeure Event; or (viii) </w:t>
            </w:r>
            <w:r w:rsidR="00865D23" w:rsidRPr="00334BFE">
              <w:rPr>
                <w:szCs w:val="24"/>
              </w:rPr>
              <w:t xml:space="preserve">events </w:t>
            </w:r>
            <w:r w:rsidR="0042707B" w:rsidRPr="00334BFE">
              <w:rPr>
                <w:szCs w:val="24"/>
              </w:rPr>
              <w:t xml:space="preserve">otherwise constituting a Force Majeure Event that </w:t>
            </w:r>
            <w:r w:rsidR="00865D23" w:rsidRPr="00334BFE">
              <w:rPr>
                <w:szCs w:val="24"/>
              </w:rPr>
              <w:t xml:space="preserve">prevent </w:t>
            </w:r>
            <w:r w:rsidRPr="00334BFE">
              <w:rPr>
                <w:szCs w:val="24"/>
              </w:rPr>
              <w:t>Seller</w:t>
            </w:r>
            <w:r w:rsidR="00865D23" w:rsidRPr="00334BFE">
              <w:rPr>
                <w:szCs w:val="24"/>
              </w:rPr>
              <w:t xml:space="preserve"> from achieving </w:t>
            </w:r>
            <w:r w:rsidRPr="00334BFE">
              <w:rPr>
                <w:szCs w:val="24"/>
              </w:rPr>
              <w:t xml:space="preserve">Construction Start </w:t>
            </w:r>
            <w:r w:rsidR="00865D23" w:rsidRPr="00334BFE">
              <w:rPr>
                <w:szCs w:val="24"/>
              </w:rPr>
              <w:t xml:space="preserve">or Commercial Operation </w:t>
            </w:r>
            <w:r w:rsidRPr="00334BFE">
              <w:rPr>
                <w:szCs w:val="24"/>
              </w:rPr>
              <w:t xml:space="preserve">of the </w:t>
            </w:r>
            <w:r w:rsidR="00D7172B" w:rsidRPr="00334BFE">
              <w:rPr>
                <w:szCs w:val="24"/>
              </w:rPr>
              <w:t>Storage Facility</w:t>
            </w:r>
            <w:r w:rsidR="00865D23" w:rsidRPr="00334BFE">
              <w:rPr>
                <w:szCs w:val="24"/>
              </w:rPr>
              <w:t>, except to the extent expressly permitted as an extension under the ESA</w:t>
            </w:r>
            <w:r w:rsidRPr="00334BFE">
              <w:rPr>
                <w:szCs w:val="24"/>
              </w:rPr>
              <w:t>.</w:t>
            </w:r>
          </w:p>
        </w:tc>
      </w:tr>
      <w:tr w:rsidR="00D30F3E" w:rsidRPr="00334BFE" w14:paraId="6F682748" w14:textId="77777777" w:rsidTr="0080155D">
        <w:tc>
          <w:tcPr>
            <w:tcW w:w="3055" w:type="dxa"/>
            <w:tcBorders>
              <w:top w:val="single" w:sz="4" w:space="0" w:color="auto"/>
              <w:left w:val="single" w:sz="4" w:space="0" w:color="auto"/>
              <w:bottom w:val="single" w:sz="4" w:space="0" w:color="auto"/>
              <w:right w:val="single" w:sz="4" w:space="0" w:color="auto"/>
            </w:tcBorders>
          </w:tcPr>
          <w:p w14:paraId="2C893ECB" w14:textId="20D8A6B3" w:rsidR="00D30F3E" w:rsidRPr="00334BFE" w:rsidRDefault="00D30F3E" w:rsidP="00A6184C">
            <w:pPr>
              <w:spacing w:before="120"/>
              <w:rPr>
                <w:b/>
              </w:rPr>
            </w:pPr>
            <w:r w:rsidRPr="00334BFE">
              <w:rPr>
                <w:b/>
              </w:rPr>
              <w:lastRenderedPageBreak/>
              <w:t>Other Standard Contract Terms to be included in the</w:t>
            </w:r>
            <w:r w:rsidR="00826AE6" w:rsidRPr="00334BFE">
              <w:rPr>
                <w:b/>
              </w:rPr>
              <w:t xml:space="preserve"> </w:t>
            </w:r>
            <w:r w:rsidR="00B20CE2" w:rsidRPr="00334BFE">
              <w:rPr>
                <w:b/>
              </w:rPr>
              <w:t>ESA</w:t>
            </w:r>
            <w:r w:rsidR="00653749" w:rsidRPr="00334BFE">
              <w:rPr>
                <w:b/>
              </w:rPr>
              <w:t>:</w:t>
            </w:r>
          </w:p>
        </w:tc>
        <w:tc>
          <w:tcPr>
            <w:tcW w:w="6300" w:type="dxa"/>
            <w:tcBorders>
              <w:top w:val="single" w:sz="4" w:space="0" w:color="auto"/>
              <w:left w:val="single" w:sz="4" w:space="0" w:color="auto"/>
              <w:bottom w:val="single" w:sz="4" w:space="0" w:color="auto"/>
              <w:right w:val="single" w:sz="4" w:space="0" w:color="auto"/>
            </w:tcBorders>
          </w:tcPr>
          <w:p w14:paraId="61D5F17B" w14:textId="14D0A9A3" w:rsidR="00D30F3E" w:rsidRPr="00334BFE" w:rsidRDefault="00D30F3E" w:rsidP="0098039F">
            <w:pPr>
              <w:pStyle w:val="ListParagraph"/>
              <w:numPr>
                <w:ilvl w:val="0"/>
                <w:numId w:val="8"/>
              </w:numPr>
              <w:spacing w:before="120" w:after="120"/>
              <w:ind w:left="341" w:hanging="341"/>
              <w:contextualSpacing w:val="0"/>
              <w:jc w:val="both"/>
            </w:pPr>
            <w:r w:rsidRPr="00334BFE">
              <w:rPr>
                <w:u w:val="single"/>
              </w:rPr>
              <w:t>Event of Default</w:t>
            </w:r>
            <w:r w:rsidRPr="00334BFE">
              <w:t xml:space="preserve">: Events of Default shall include, but not be limited to, failure to pay any amounts when due, breach of representations and warranties, failure to perform covenants and material obligations in the </w:t>
            </w:r>
            <w:r w:rsidR="00826AE6" w:rsidRPr="00334BFE">
              <w:t>ESA</w:t>
            </w:r>
            <w:r w:rsidRPr="00334BFE">
              <w:t xml:space="preserve">, bankruptcy, assignment </w:t>
            </w:r>
            <w:r w:rsidR="00826AE6" w:rsidRPr="00334BFE">
              <w:t xml:space="preserve">other than as </w:t>
            </w:r>
            <w:r w:rsidRPr="00334BFE">
              <w:t xml:space="preserve">permitted by the </w:t>
            </w:r>
            <w:r w:rsidR="00826AE6" w:rsidRPr="00334BFE">
              <w:t>ESA</w:t>
            </w:r>
            <w:r w:rsidR="005A5B1F" w:rsidRPr="00334BFE">
              <w:t>.  In addition, it shall be a Seller Event of Default if COD is not achieved within</w:t>
            </w:r>
            <w:r w:rsidRPr="00334BFE">
              <w:t xml:space="preserve"> achieved within 60 days after the Guaranteed COD.</w:t>
            </w:r>
            <w:r w:rsidR="008E6DC1" w:rsidRPr="00334BFE">
              <w:t xml:space="preserve"> </w:t>
            </w:r>
          </w:p>
          <w:p w14:paraId="679DD79E" w14:textId="616A0C97" w:rsidR="00D30F3E" w:rsidRPr="00334BFE" w:rsidRDefault="00D30F3E" w:rsidP="0098039F">
            <w:pPr>
              <w:pStyle w:val="ListParagraph"/>
              <w:numPr>
                <w:ilvl w:val="0"/>
                <w:numId w:val="8"/>
              </w:numPr>
              <w:spacing w:before="120" w:after="120"/>
              <w:ind w:left="341" w:hanging="341"/>
              <w:contextualSpacing w:val="0"/>
              <w:jc w:val="both"/>
            </w:pPr>
            <w:r w:rsidRPr="00334BFE">
              <w:rPr>
                <w:u w:val="single"/>
              </w:rPr>
              <w:t>Indemnification</w:t>
            </w:r>
            <w:r w:rsidRPr="00334BFE">
              <w:t>:</w:t>
            </w:r>
            <w:r w:rsidR="00006EEE" w:rsidRPr="00334BFE">
              <w:t xml:space="preserve"> Mutual indemnification for third party claims arising from negligence, willful misconduct, or breach of the </w:t>
            </w:r>
            <w:r w:rsidR="00826AE6" w:rsidRPr="00334BFE">
              <w:t>ESA</w:t>
            </w:r>
            <w:r w:rsidR="00006EEE" w:rsidRPr="00334BFE">
              <w:t>.</w:t>
            </w:r>
            <w:r w:rsidRPr="00334BFE">
              <w:t xml:space="preserve"> </w:t>
            </w:r>
          </w:p>
          <w:p w14:paraId="2113056E" w14:textId="77777777" w:rsidR="007A21EB" w:rsidRPr="00334BFE" w:rsidRDefault="00D30F3E" w:rsidP="0098039F">
            <w:pPr>
              <w:pStyle w:val="ListParagraph"/>
              <w:numPr>
                <w:ilvl w:val="0"/>
                <w:numId w:val="8"/>
              </w:numPr>
              <w:spacing w:before="120" w:after="120"/>
              <w:ind w:left="341" w:hanging="341"/>
              <w:contextualSpacing w:val="0"/>
              <w:jc w:val="both"/>
            </w:pPr>
            <w:r w:rsidRPr="00334BFE">
              <w:rPr>
                <w:u w:val="single"/>
              </w:rPr>
              <w:t>Governing Law</w:t>
            </w:r>
            <w:r w:rsidRPr="00334BFE">
              <w:t>: State of California</w:t>
            </w:r>
          </w:p>
          <w:p w14:paraId="283AB616" w14:textId="1F9A29CD" w:rsidR="00D30F3E" w:rsidRPr="00334BFE" w:rsidRDefault="00D30F3E" w:rsidP="0098039F">
            <w:pPr>
              <w:pStyle w:val="ListParagraph"/>
              <w:numPr>
                <w:ilvl w:val="0"/>
                <w:numId w:val="8"/>
              </w:numPr>
              <w:spacing w:before="120" w:after="120"/>
              <w:ind w:left="341" w:hanging="341"/>
              <w:contextualSpacing w:val="0"/>
              <w:jc w:val="both"/>
            </w:pPr>
            <w:r w:rsidRPr="00334BFE">
              <w:rPr>
                <w:u w:val="single"/>
              </w:rPr>
              <w:lastRenderedPageBreak/>
              <w:t>Venue</w:t>
            </w:r>
            <w:r w:rsidRPr="00334BFE">
              <w:t>:</w:t>
            </w:r>
            <w:r w:rsidR="008E6DC1" w:rsidRPr="00334BFE">
              <w:t xml:space="preserve"> </w:t>
            </w:r>
            <w:r w:rsidR="00B20CE2" w:rsidRPr="00334BFE">
              <w:t>San Francisco</w:t>
            </w:r>
            <w:r w:rsidR="009E049D" w:rsidRPr="00334BFE">
              <w:t xml:space="preserve"> </w:t>
            </w:r>
            <w:r w:rsidRPr="00334BFE">
              <w:t>County</w:t>
            </w:r>
          </w:p>
        </w:tc>
      </w:tr>
    </w:tbl>
    <w:p w14:paraId="5FC6BCEC" w14:textId="77777777" w:rsidR="00F3434A" w:rsidRPr="00334BFE" w:rsidRDefault="00F3434A" w:rsidP="00F3434A"/>
    <w:p w14:paraId="69669960" w14:textId="40F7CF86" w:rsidR="00006EEE" w:rsidRPr="00334BFE" w:rsidRDefault="00006EEE" w:rsidP="00C26A98">
      <w:pPr>
        <w:pStyle w:val="ListParagraph"/>
        <w:numPr>
          <w:ilvl w:val="0"/>
          <w:numId w:val="47"/>
        </w:numPr>
        <w:ind w:left="720" w:hanging="720"/>
        <w:jc w:val="both"/>
        <w:rPr>
          <w:b/>
          <w:snapToGrid w:val="0"/>
          <w:u w:val="single"/>
        </w:rPr>
      </w:pPr>
      <w:r w:rsidRPr="00334BFE">
        <w:rPr>
          <w:b/>
          <w:snapToGrid w:val="0"/>
          <w:u w:val="single"/>
        </w:rPr>
        <w:t>Additional Term Sheet Provisions</w:t>
      </w:r>
    </w:p>
    <w:p w14:paraId="50F79806" w14:textId="77777777" w:rsidR="00697F95" w:rsidRPr="00334BFE" w:rsidRDefault="00697F95" w:rsidP="00697F95">
      <w:pPr>
        <w:pStyle w:val="ListParagraph"/>
        <w:ind w:left="106"/>
        <w:jc w:val="both"/>
        <w:rPr>
          <w:b/>
          <w:snapToGrid w:val="0"/>
        </w:rPr>
      </w:pPr>
    </w:p>
    <w:p w14:paraId="2016DAEF" w14:textId="10D887B2" w:rsidR="00006EEE" w:rsidRPr="00334BFE" w:rsidRDefault="00006EEE" w:rsidP="00C26A98">
      <w:pPr>
        <w:pStyle w:val="ListParagraph"/>
        <w:numPr>
          <w:ilvl w:val="0"/>
          <w:numId w:val="46"/>
        </w:numPr>
        <w:ind w:left="720" w:hanging="720"/>
        <w:jc w:val="both"/>
      </w:pPr>
      <w:r w:rsidRPr="00334BFE">
        <w:rPr>
          <w:b/>
          <w:snapToGrid w:val="0"/>
        </w:rPr>
        <w:t>Neither Party Obligated to Enter Into Proposed Transaction</w:t>
      </w:r>
      <w:r w:rsidRPr="00334BFE">
        <w:rPr>
          <w:snapToGrid w:val="0"/>
        </w:rPr>
        <w:t>.</w:t>
      </w:r>
      <w:r w:rsidRPr="00334BFE">
        <w:t xml:space="preserve">  </w:t>
      </w:r>
      <w:r w:rsidRPr="00334BFE">
        <w:rPr>
          <w:snapToGrid w:val="0"/>
        </w:rPr>
        <w:t>This Term Sheet is intended to provide an overview of the Proposed Transaction and is not intended to constitute a binding contract or an offer to enter into a</w:t>
      </w:r>
      <w:r w:rsidR="005A5B1F" w:rsidRPr="00334BFE">
        <w:rPr>
          <w:snapToGrid w:val="0"/>
        </w:rPr>
        <w:t>n ESA</w:t>
      </w:r>
      <w:r w:rsidRPr="00334BFE">
        <w:rPr>
          <w:snapToGrid w:val="0"/>
        </w:rPr>
        <w:t xml:space="preserve"> with respect to the Proposed Transaction and does not obligate either Party to enter into the Proposed Transaction or execute any agreement, including the </w:t>
      </w:r>
      <w:r w:rsidR="00826AE6" w:rsidRPr="00334BFE">
        <w:rPr>
          <w:snapToGrid w:val="0"/>
        </w:rPr>
        <w:t>ESA</w:t>
      </w:r>
      <w:r w:rsidRPr="00334BFE">
        <w:rPr>
          <w:snapToGrid w:val="0"/>
        </w:rPr>
        <w:t xml:space="preserve">, in connection with the Proposed Transaction.  Neither Party will be deemed to have agreed to the </w:t>
      </w:r>
      <w:r w:rsidR="00826AE6" w:rsidRPr="00334BFE">
        <w:rPr>
          <w:snapToGrid w:val="0"/>
        </w:rPr>
        <w:t>ESA</w:t>
      </w:r>
      <w:r w:rsidRPr="00334BFE">
        <w:rPr>
          <w:snapToGrid w:val="0"/>
        </w:rPr>
        <w:t xml:space="preserve"> and will not be bound by any term thereof, unless and until authorized representatives of both Parties execute final definitive documents, enforceable in accordance with their terms.</w:t>
      </w:r>
    </w:p>
    <w:p w14:paraId="27D9BB3F" w14:textId="77777777" w:rsidR="00006EEE" w:rsidRPr="00334BFE" w:rsidRDefault="00006EEE" w:rsidP="00C26A98">
      <w:pPr>
        <w:pStyle w:val="ListParagraph"/>
        <w:ind w:hanging="720"/>
        <w:rPr>
          <w:b/>
          <w:snapToGrid w:val="0"/>
        </w:rPr>
      </w:pPr>
    </w:p>
    <w:p w14:paraId="66F1311B" w14:textId="77777777" w:rsidR="00006EEE" w:rsidRPr="00334BFE" w:rsidRDefault="00006EEE" w:rsidP="00C26A98">
      <w:pPr>
        <w:pStyle w:val="ListParagraph"/>
        <w:numPr>
          <w:ilvl w:val="0"/>
          <w:numId w:val="46"/>
        </w:numPr>
        <w:ind w:left="720" w:hanging="720"/>
        <w:jc w:val="both"/>
      </w:pPr>
      <w:r w:rsidRPr="00334BFE">
        <w:rPr>
          <w:b/>
          <w:snapToGrid w:val="0"/>
        </w:rPr>
        <w:t>Expenses</w:t>
      </w:r>
      <w:r w:rsidRPr="00334BFE">
        <w:rPr>
          <w:snapToGrid w:val="0"/>
        </w:rPr>
        <w:t>.  Each Party will pay its own costs and expenses (whether internal or out-of-pocket, and whether for legal, financial, technical or other consultants, or other purposes) in connection with the Term Sheet and any definitive agreements.</w:t>
      </w:r>
    </w:p>
    <w:p w14:paraId="4DF5D51D" w14:textId="77777777" w:rsidR="00006EEE" w:rsidRPr="00334BFE" w:rsidRDefault="00006EEE" w:rsidP="00C26A98">
      <w:pPr>
        <w:ind w:left="720" w:hanging="720"/>
        <w:jc w:val="both"/>
      </w:pPr>
    </w:p>
    <w:p w14:paraId="6AFDA07C" w14:textId="1AA90D29" w:rsidR="00006EEE" w:rsidRPr="00334BFE" w:rsidRDefault="00006EEE" w:rsidP="00C26A98">
      <w:pPr>
        <w:pStyle w:val="ListParagraph"/>
        <w:numPr>
          <w:ilvl w:val="0"/>
          <w:numId w:val="46"/>
        </w:numPr>
        <w:ind w:left="720" w:hanging="720"/>
        <w:jc w:val="both"/>
      </w:pPr>
      <w:r w:rsidRPr="00334BFE">
        <w:rPr>
          <w:b/>
          <w:snapToGrid w:val="0"/>
        </w:rPr>
        <w:t>Termination</w:t>
      </w:r>
      <w:r w:rsidRPr="00334BFE">
        <w:rPr>
          <w:snapToGrid w:val="0"/>
        </w:rPr>
        <w:t xml:space="preserve">.  This Term Sheet will terminate upon the earlier of (a) execution of the </w:t>
      </w:r>
      <w:r w:rsidR="00826AE6" w:rsidRPr="00334BFE">
        <w:rPr>
          <w:snapToGrid w:val="0"/>
        </w:rPr>
        <w:t>ESA</w:t>
      </w:r>
      <w:r w:rsidRPr="00334BFE">
        <w:rPr>
          <w:snapToGrid w:val="0"/>
        </w:rPr>
        <w:t xml:space="preserve"> or (b) expiration of the Exclusivity Deadline (as defined in the Exclusive Negotiating Agreement), as such Exclusivity Deadline may be extended by the Parties in accordance with the Exclusive Negotiating Agreement.</w:t>
      </w:r>
    </w:p>
    <w:p w14:paraId="1F02A4EB" w14:textId="77777777" w:rsidR="00006EEE" w:rsidRPr="00334BFE" w:rsidRDefault="00006EEE" w:rsidP="00C26A98">
      <w:pPr>
        <w:pStyle w:val="ListParagraph"/>
        <w:ind w:hanging="720"/>
        <w:jc w:val="both"/>
      </w:pPr>
    </w:p>
    <w:p w14:paraId="437D8631" w14:textId="77777777" w:rsidR="00006EEE" w:rsidRPr="00334BFE" w:rsidRDefault="00006EEE" w:rsidP="00C26A98">
      <w:pPr>
        <w:pStyle w:val="ListParagraph"/>
        <w:numPr>
          <w:ilvl w:val="0"/>
          <w:numId w:val="46"/>
        </w:numPr>
        <w:ind w:left="720" w:hanging="720"/>
        <w:jc w:val="both"/>
      </w:pPr>
      <w:r w:rsidRPr="00334BFE">
        <w:rPr>
          <w:b/>
          <w:snapToGrid w:val="0"/>
        </w:rPr>
        <w:t>Governing Law</w:t>
      </w:r>
      <w:r w:rsidRPr="00334BFE">
        <w:rPr>
          <w:snapToGrid w:val="0"/>
        </w:rPr>
        <w:t>.  This Term Sheet is governed by, and construed in accordance with, the laws of the State of California.</w:t>
      </w:r>
    </w:p>
    <w:p w14:paraId="4191CFD5" w14:textId="77777777" w:rsidR="00006EEE" w:rsidRPr="00334BFE" w:rsidRDefault="00006EEE" w:rsidP="00C26A98">
      <w:pPr>
        <w:ind w:left="720" w:hanging="720"/>
        <w:jc w:val="both"/>
      </w:pPr>
    </w:p>
    <w:p w14:paraId="11DEE38A" w14:textId="77777777" w:rsidR="00006EEE" w:rsidRPr="00334BFE" w:rsidRDefault="00006EEE" w:rsidP="00C26A98">
      <w:pPr>
        <w:pStyle w:val="ListParagraph"/>
        <w:numPr>
          <w:ilvl w:val="0"/>
          <w:numId w:val="46"/>
        </w:numPr>
        <w:ind w:left="720" w:hanging="720"/>
        <w:jc w:val="both"/>
        <w:rPr>
          <w:snapToGrid w:val="0"/>
        </w:rPr>
      </w:pPr>
      <w:r w:rsidRPr="00334BFE">
        <w:rPr>
          <w:b/>
          <w:snapToGrid w:val="0"/>
        </w:rPr>
        <w:t>Counterparts and Electronic Signatures</w:t>
      </w:r>
      <w:r w:rsidRPr="00334BFE">
        <w:rPr>
          <w:snapToGrid w:val="0"/>
        </w:rPr>
        <w:t>. This Term Sheet may be executed electronically and in counterparts, each of which will be enforceable against the Parties actually executing such counterparts, and all of which together will constitute one instrument. The Parties may rely on electronic, facsimile or scanned signatures as originals.  Delivery of an executed signature page of this Term Sheet by electronic transmission (including facsimile and email transmission of a PDF image) shall be the same as delivery of an original executed signature page.</w:t>
      </w:r>
    </w:p>
    <w:p w14:paraId="2ECBF1B6" w14:textId="77777777" w:rsidR="00006EEE" w:rsidRPr="00334BFE" w:rsidRDefault="00006EEE" w:rsidP="00C26A98">
      <w:pPr>
        <w:ind w:left="720" w:hanging="720"/>
      </w:pPr>
    </w:p>
    <w:p w14:paraId="61049F05" w14:textId="77777777" w:rsidR="00006EEE" w:rsidRPr="00334BFE" w:rsidRDefault="00006EEE" w:rsidP="00C26A98">
      <w:pPr>
        <w:pStyle w:val="ListParagraph"/>
        <w:numPr>
          <w:ilvl w:val="0"/>
          <w:numId w:val="46"/>
        </w:numPr>
        <w:ind w:left="720" w:hanging="720"/>
        <w:jc w:val="both"/>
        <w:rPr>
          <w:snapToGrid w:val="0"/>
        </w:rPr>
      </w:pPr>
      <w:r w:rsidRPr="00334BFE">
        <w:rPr>
          <w:b/>
          <w:snapToGrid w:val="0"/>
        </w:rPr>
        <w:t>Prior Agreements</w:t>
      </w:r>
      <w:r w:rsidRPr="00334BFE">
        <w:rPr>
          <w:snapToGrid w:val="0"/>
        </w:rPr>
        <w:t>.  This Term Sheet supersedes all prior communications and agreements, oral or written, between the Parties regarding the subject matter herein contemplated.</w:t>
      </w:r>
    </w:p>
    <w:p w14:paraId="09555CBC" w14:textId="77777777" w:rsidR="00006EEE" w:rsidRPr="00334BFE" w:rsidRDefault="00006EEE" w:rsidP="00C26A98">
      <w:pPr>
        <w:ind w:left="720" w:hanging="720"/>
        <w:jc w:val="both"/>
        <w:rPr>
          <w:snapToGrid w:val="0"/>
        </w:rPr>
      </w:pPr>
    </w:p>
    <w:p w14:paraId="2AD34A93" w14:textId="0B3CD751" w:rsidR="00006EEE" w:rsidRPr="00334BFE" w:rsidRDefault="00006EEE" w:rsidP="00C26A98">
      <w:pPr>
        <w:pStyle w:val="ListParagraph"/>
        <w:numPr>
          <w:ilvl w:val="0"/>
          <w:numId w:val="46"/>
        </w:numPr>
        <w:ind w:left="720" w:hanging="720"/>
        <w:jc w:val="both"/>
        <w:rPr>
          <w:snapToGrid w:val="0"/>
        </w:rPr>
      </w:pPr>
      <w:r w:rsidRPr="00334BFE">
        <w:rPr>
          <w:b/>
          <w:snapToGrid w:val="0"/>
        </w:rPr>
        <w:t>Assignment</w:t>
      </w:r>
      <w:r w:rsidRPr="00334BFE">
        <w:rPr>
          <w:snapToGrid w:val="0"/>
        </w:rPr>
        <w:t>.  This Term Sheet will be binding upon and inure to the benefit of the Parties and their respective successors and permitted assigns. Neither Party will assign, pledge or otherwise transfer this Term Sheet or any right or obligation under this Term Sheet without first obtaining the other Party’s prior written consent.</w:t>
      </w:r>
    </w:p>
    <w:p w14:paraId="06E0BEAD" w14:textId="77777777" w:rsidR="00006EEE" w:rsidRPr="00334BFE" w:rsidRDefault="00006EEE" w:rsidP="00C26A98">
      <w:pPr>
        <w:ind w:left="720" w:hanging="720"/>
        <w:jc w:val="both"/>
        <w:rPr>
          <w:snapToGrid w:val="0"/>
        </w:rPr>
      </w:pPr>
    </w:p>
    <w:p w14:paraId="6ECE54CE" w14:textId="6C5A84B1" w:rsidR="00006EEE" w:rsidRPr="00A23101" w:rsidRDefault="00006EEE" w:rsidP="00A23101">
      <w:pPr>
        <w:pStyle w:val="ListParagraph"/>
        <w:numPr>
          <w:ilvl w:val="0"/>
          <w:numId w:val="46"/>
        </w:numPr>
        <w:ind w:left="720" w:hanging="720"/>
        <w:jc w:val="both"/>
        <w:rPr>
          <w:snapToGrid w:val="0"/>
        </w:rPr>
      </w:pPr>
      <w:r w:rsidRPr="00334BFE">
        <w:rPr>
          <w:b/>
          <w:snapToGrid w:val="0"/>
        </w:rPr>
        <w:t>No Consequential Damages</w:t>
      </w:r>
      <w:r w:rsidRPr="00334BFE">
        <w:rPr>
          <w:snapToGrid w:val="0"/>
        </w:rPr>
        <w:t xml:space="preserve">.  IN NO EVENT SHALL EITHER PARTY, ITS AFFILIATES AND/OR REPRESENTATIVES BE LIABLE FOR ANY LOST OR PROSPECTIVE PROFITS OR ANY OTHER CONSEQUENTIAL, INCIDENTAL, SPECIAL, PUNITIVE, INDIRECT OR EXEMPLARY DAMAGES UNDER OR IN RESPECT TO THIS </w:t>
      </w:r>
      <w:r w:rsidR="00603AF5" w:rsidRPr="00334BFE">
        <w:rPr>
          <w:snapToGrid w:val="0"/>
        </w:rPr>
        <w:t>TERM SHEET</w:t>
      </w:r>
      <w:r w:rsidRPr="00334BFE">
        <w:rPr>
          <w:snapToGrid w:val="0"/>
        </w:rPr>
        <w:t>.</w:t>
      </w:r>
    </w:p>
    <w:p w14:paraId="6C25AB7F" w14:textId="77777777" w:rsidR="004C21D8" w:rsidRPr="00334BFE" w:rsidRDefault="004C21D8" w:rsidP="00006EEE">
      <w:pPr>
        <w:jc w:val="both"/>
        <w:rPr>
          <w:snapToGrid w:val="0"/>
        </w:rPr>
        <w:sectPr w:rsidR="004C21D8" w:rsidRPr="00334BFE" w:rsidSect="000650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432" w:gutter="0"/>
          <w:cols w:space="720"/>
          <w:titlePg/>
          <w:docGrid w:linePitch="360"/>
        </w:sectPr>
      </w:pPr>
    </w:p>
    <w:p w14:paraId="2F331F08" w14:textId="6C0A34C0" w:rsidR="00006EEE" w:rsidRPr="00334BFE" w:rsidRDefault="00006EEE" w:rsidP="00006EEE">
      <w:pPr>
        <w:jc w:val="both"/>
        <w:rPr>
          <w:snapToGrid w:val="0"/>
        </w:rPr>
      </w:pPr>
      <w:r w:rsidRPr="00334BFE">
        <w:rPr>
          <w:snapToGrid w:val="0"/>
        </w:rPr>
        <w:lastRenderedPageBreak/>
        <w:t>IN WITNESS WHEREOF, the Parties hereto have by their duly authorized representatives executed this Term Sheet as of the Effective Date.</w:t>
      </w:r>
    </w:p>
    <w:p w14:paraId="573A4016" w14:textId="77777777" w:rsidR="00006EEE" w:rsidRPr="00334BFE" w:rsidRDefault="00006EEE" w:rsidP="00006EEE"/>
    <w:p w14:paraId="70B95F16" w14:textId="77777777" w:rsidR="00006EEE" w:rsidRPr="00334BFE" w:rsidRDefault="00006EEE" w:rsidP="00006EEE">
      <w:pPr>
        <w:tabs>
          <w:tab w:val="left" w:pos="-720"/>
        </w:tabs>
        <w:suppressAutoHyphens/>
        <w:ind w:left="3600" w:right="-360" w:hanging="3600"/>
        <w:jc w:val="both"/>
        <w:rPr>
          <w:spacing w:val="-3"/>
        </w:rPr>
      </w:pPr>
      <w:r w:rsidRPr="00334BFE">
        <w:rPr>
          <w:b/>
          <w:spacing w:val="-3"/>
        </w:rPr>
        <w:t xml:space="preserve">    </w:t>
      </w:r>
      <w:r w:rsidRPr="00334BFE">
        <w:rPr>
          <w:b/>
          <w:spacing w:val="-3"/>
        </w:rPr>
        <w:tab/>
      </w:r>
    </w:p>
    <w:p w14:paraId="1281B9B1" w14:textId="77777777" w:rsidR="00006EEE" w:rsidRPr="00334BFE" w:rsidRDefault="00006EEE" w:rsidP="00006EEE">
      <w:pPr>
        <w:tabs>
          <w:tab w:val="left" w:pos="-720"/>
        </w:tabs>
        <w:suppressAutoHyphens/>
        <w:ind w:right="-360"/>
        <w:jc w:val="both"/>
        <w:rPr>
          <w:b/>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6EEE" w:rsidRPr="00334BFE" w14:paraId="2F087C26" w14:textId="77777777" w:rsidTr="00006EEE">
        <w:tc>
          <w:tcPr>
            <w:tcW w:w="4675" w:type="dxa"/>
          </w:tcPr>
          <w:p w14:paraId="15BD87F5" w14:textId="604EAAA4" w:rsidR="00006EEE" w:rsidRPr="00334BFE" w:rsidRDefault="00B20CE2">
            <w:pPr>
              <w:rPr>
                <w:b/>
              </w:rPr>
            </w:pPr>
            <w:r w:rsidRPr="00334BFE">
              <w:rPr>
                <w:b/>
              </w:rPr>
              <w:t>MARIN CLEAN ENERGY</w:t>
            </w:r>
            <w:r w:rsidR="00006EEE" w:rsidRPr="00334BFE">
              <w:rPr>
                <w:b/>
              </w:rPr>
              <w:t>, a California joint powers authority</w:t>
            </w:r>
          </w:p>
          <w:p w14:paraId="23156E83" w14:textId="77777777" w:rsidR="00006EEE" w:rsidRPr="00334BFE" w:rsidRDefault="00006EEE"/>
        </w:tc>
        <w:tc>
          <w:tcPr>
            <w:tcW w:w="4675" w:type="dxa"/>
          </w:tcPr>
          <w:p w14:paraId="083D6D63" w14:textId="1369DB71" w:rsidR="00006EEE" w:rsidRPr="00334BFE" w:rsidRDefault="00B20CE2">
            <w:pPr>
              <w:tabs>
                <w:tab w:val="left" w:pos="-720"/>
              </w:tabs>
              <w:suppressAutoHyphens/>
              <w:ind w:right="-360"/>
              <w:jc w:val="both"/>
              <w:rPr>
                <w:b/>
              </w:rPr>
            </w:pPr>
            <w:r w:rsidRPr="00334BFE">
              <w:rPr>
                <w:b/>
              </w:rPr>
              <w:t>[</w:t>
            </w:r>
            <w:r w:rsidRPr="00334BFE">
              <w:rPr>
                <w:b/>
                <w:i/>
                <w:iCs/>
                <w:highlight w:val="lightGray"/>
              </w:rPr>
              <w:t>SELLER</w:t>
            </w:r>
            <w:r w:rsidRPr="00334BFE">
              <w:rPr>
                <w:bCs/>
              </w:rPr>
              <w:t>]</w:t>
            </w:r>
            <w:r w:rsidR="007E6D84" w:rsidRPr="00334BFE">
              <w:rPr>
                <w:b/>
              </w:rPr>
              <w:t xml:space="preserve"> </w:t>
            </w:r>
          </w:p>
          <w:p w14:paraId="379A219E" w14:textId="77777777" w:rsidR="00006EEE" w:rsidRPr="00334BFE" w:rsidRDefault="00006EEE"/>
        </w:tc>
      </w:tr>
      <w:tr w:rsidR="00006EEE" w:rsidRPr="00334BFE" w14:paraId="1DD1ED71" w14:textId="77777777" w:rsidTr="00006EEE">
        <w:tc>
          <w:tcPr>
            <w:tcW w:w="4675" w:type="dxa"/>
          </w:tcPr>
          <w:p w14:paraId="738F77CC" w14:textId="77777777" w:rsidR="00006EEE" w:rsidRPr="00334BFE" w:rsidRDefault="00006EEE">
            <w:pPr>
              <w:tabs>
                <w:tab w:val="left" w:pos="-720"/>
              </w:tabs>
              <w:suppressAutoHyphens/>
              <w:ind w:right="-360"/>
              <w:jc w:val="both"/>
            </w:pPr>
            <w:r w:rsidRPr="00334BFE">
              <w:rPr>
                <w:spacing w:val="-3"/>
              </w:rPr>
              <w:t>By:</w:t>
            </w:r>
            <w:r w:rsidRPr="00334BFE">
              <w:rPr>
                <w:spacing w:val="-3"/>
              </w:rPr>
              <w:tab/>
              <w:t>___________________________</w:t>
            </w:r>
          </w:p>
          <w:p w14:paraId="61F3BD93" w14:textId="77777777" w:rsidR="00006EEE" w:rsidRPr="00334BFE" w:rsidRDefault="00006EEE"/>
          <w:p w14:paraId="5EBCA2F7" w14:textId="77777777" w:rsidR="00006EEE" w:rsidRPr="00334BFE" w:rsidRDefault="00006EEE">
            <w:pPr>
              <w:tabs>
                <w:tab w:val="left" w:pos="-720"/>
              </w:tabs>
              <w:suppressAutoHyphens/>
              <w:ind w:right="-360"/>
              <w:jc w:val="both"/>
            </w:pPr>
            <w:r w:rsidRPr="00334BFE">
              <w:rPr>
                <w:spacing w:val="-3"/>
              </w:rPr>
              <w:t>Printed Name:</w:t>
            </w:r>
            <w:r w:rsidRPr="00334BFE">
              <w:rPr>
                <w:spacing w:val="-3"/>
              </w:rPr>
              <w:tab/>
              <w:t>_____________________</w:t>
            </w:r>
          </w:p>
          <w:p w14:paraId="05C4D386" w14:textId="77777777" w:rsidR="00006EEE" w:rsidRPr="00334BFE" w:rsidRDefault="00006EEE"/>
          <w:p w14:paraId="6AF35D78" w14:textId="77777777" w:rsidR="00006EEE" w:rsidRPr="00334BFE" w:rsidRDefault="00006EEE">
            <w:pPr>
              <w:tabs>
                <w:tab w:val="left" w:pos="-720"/>
              </w:tabs>
              <w:suppressAutoHyphens/>
              <w:ind w:right="-360"/>
              <w:jc w:val="both"/>
            </w:pPr>
            <w:r w:rsidRPr="00334BFE">
              <w:rPr>
                <w:spacing w:val="-3"/>
              </w:rPr>
              <w:t>Title:</w:t>
            </w:r>
            <w:r w:rsidRPr="00334BFE">
              <w:rPr>
                <w:spacing w:val="-3"/>
              </w:rPr>
              <w:tab/>
              <w:t>___________________________</w:t>
            </w:r>
          </w:p>
        </w:tc>
        <w:tc>
          <w:tcPr>
            <w:tcW w:w="4675" w:type="dxa"/>
          </w:tcPr>
          <w:p w14:paraId="1555C1BA" w14:textId="77777777" w:rsidR="00006EEE" w:rsidRPr="00334BFE" w:rsidRDefault="00006EEE">
            <w:pPr>
              <w:tabs>
                <w:tab w:val="left" w:pos="-720"/>
              </w:tabs>
              <w:suppressAutoHyphens/>
              <w:ind w:right="-360"/>
              <w:jc w:val="both"/>
            </w:pPr>
            <w:r w:rsidRPr="00334BFE">
              <w:rPr>
                <w:spacing w:val="-3"/>
              </w:rPr>
              <w:t>By:</w:t>
            </w:r>
            <w:r w:rsidRPr="00334BFE">
              <w:rPr>
                <w:spacing w:val="-3"/>
              </w:rPr>
              <w:tab/>
              <w:t>___________________________</w:t>
            </w:r>
          </w:p>
          <w:p w14:paraId="15F5BD3C" w14:textId="77777777" w:rsidR="00006EEE" w:rsidRPr="00334BFE" w:rsidRDefault="00006EEE"/>
          <w:p w14:paraId="0F697746" w14:textId="77777777" w:rsidR="00006EEE" w:rsidRPr="00334BFE" w:rsidRDefault="00006EEE">
            <w:pPr>
              <w:tabs>
                <w:tab w:val="left" w:pos="-720"/>
              </w:tabs>
              <w:suppressAutoHyphens/>
              <w:ind w:right="-360"/>
              <w:jc w:val="both"/>
            </w:pPr>
            <w:r w:rsidRPr="00334BFE">
              <w:rPr>
                <w:spacing w:val="-3"/>
              </w:rPr>
              <w:t>Printed Name:</w:t>
            </w:r>
            <w:r w:rsidRPr="00334BFE">
              <w:rPr>
                <w:spacing w:val="-3"/>
              </w:rPr>
              <w:tab/>
              <w:t>_____________________</w:t>
            </w:r>
          </w:p>
          <w:p w14:paraId="5C116F0D" w14:textId="77777777" w:rsidR="00006EEE" w:rsidRPr="00334BFE" w:rsidRDefault="00006EEE"/>
          <w:p w14:paraId="23DE2F86" w14:textId="77777777" w:rsidR="00006EEE" w:rsidRPr="00334BFE" w:rsidRDefault="00006EEE">
            <w:r w:rsidRPr="00334BFE">
              <w:rPr>
                <w:spacing w:val="-3"/>
              </w:rPr>
              <w:t>Title:</w:t>
            </w:r>
            <w:r w:rsidRPr="00334BFE">
              <w:rPr>
                <w:spacing w:val="-3"/>
              </w:rPr>
              <w:tab/>
              <w:t>___________________________</w:t>
            </w:r>
          </w:p>
        </w:tc>
      </w:tr>
      <w:tr w:rsidR="00006EEE" w:rsidRPr="00334BFE" w14:paraId="4FA4C1AF" w14:textId="77777777" w:rsidTr="00006EEE">
        <w:tc>
          <w:tcPr>
            <w:tcW w:w="4675" w:type="dxa"/>
          </w:tcPr>
          <w:p w14:paraId="198EBFA6" w14:textId="77777777" w:rsidR="00006EEE" w:rsidRPr="00334BFE" w:rsidRDefault="00006EEE"/>
          <w:p w14:paraId="145B149B" w14:textId="77777777" w:rsidR="00006EEE" w:rsidRPr="00334BFE" w:rsidRDefault="00006EEE"/>
          <w:p w14:paraId="343CFE35" w14:textId="77777777" w:rsidR="00006EEE" w:rsidRPr="00334BFE" w:rsidRDefault="00006EEE"/>
          <w:p w14:paraId="22F114FE" w14:textId="77777777" w:rsidR="00006EEE" w:rsidRPr="00334BFE" w:rsidRDefault="00006EEE">
            <w:pPr>
              <w:tabs>
                <w:tab w:val="left" w:pos="-720"/>
              </w:tabs>
              <w:suppressAutoHyphens/>
              <w:ind w:right="-360"/>
              <w:jc w:val="both"/>
            </w:pPr>
            <w:r w:rsidRPr="00334BFE">
              <w:rPr>
                <w:spacing w:val="-3"/>
              </w:rPr>
              <w:t>By:</w:t>
            </w:r>
            <w:r w:rsidRPr="00334BFE">
              <w:rPr>
                <w:spacing w:val="-3"/>
              </w:rPr>
              <w:tab/>
              <w:t>___________________________</w:t>
            </w:r>
          </w:p>
          <w:p w14:paraId="15BF10AB" w14:textId="77777777" w:rsidR="00006EEE" w:rsidRPr="00334BFE" w:rsidRDefault="00006EEE"/>
          <w:p w14:paraId="5DEF3308" w14:textId="77777777" w:rsidR="00006EEE" w:rsidRPr="00334BFE" w:rsidRDefault="00006EEE">
            <w:pPr>
              <w:tabs>
                <w:tab w:val="left" w:pos="-720"/>
              </w:tabs>
              <w:suppressAutoHyphens/>
              <w:ind w:right="-360"/>
              <w:jc w:val="both"/>
            </w:pPr>
            <w:r w:rsidRPr="00334BFE">
              <w:rPr>
                <w:spacing w:val="-3"/>
              </w:rPr>
              <w:t>Printed Name:</w:t>
            </w:r>
            <w:r w:rsidRPr="00334BFE">
              <w:rPr>
                <w:spacing w:val="-3"/>
              </w:rPr>
              <w:tab/>
              <w:t>_____________________</w:t>
            </w:r>
          </w:p>
          <w:p w14:paraId="3C859B9D" w14:textId="77777777" w:rsidR="00006EEE" w:rsidRPr="00334BFE" w:rsidRDefault="00006EEE"/>
          <w:p w14:paraId="6CAFAA7A" w14:textId="77777777" w:rsidR="00006EEE" w:rsidRPr="00334BFE" w:rsidRDefault="00006EEE">
            <w:r w:rsidRPr="00334BFE">
              <w:rPr>
                <w:spacing w:val="-3"/>
              </w:rPr>
              <w:t>Title:</w:t>
            </w:r>
            <w:r w:rsidRPr="00334BFE">
              <w:rPr>
                <w:spacing w:val="-3"/>
              </w:rPr>
              <w:tab/>
              <w:t>___________________________</w:t>
            </w:r>
          </w:p>
        </w:tc>
        <w:tc>
          <w:tcPr>
            <w:tcW w:w="4675" w:type="dxa"/>
          </w:tcPr>
          <w:p w14:paraId="2A2BFF5C" w14:textId="77777777" w:rsidR="00006EEE" w:rsidRPr="00334BFE" w:rsidRDefault="00006EEE"/>
          <w:p w14:paraId="74F03BC5" w14:textId="77777777" w:rsidR="00006EEE" w:rsidRPr="00334BFE" w:rsidRDefault="00006EEE"/>
          <w:p w14:paraId="30AE3B41" w14:textId="77777777" w:rsidR="00B83533" w:rsidRPr="00334BFE" w:rsidRDefault="00B83533">
            <w:pPr>
              <w:tabs>
                <w:tab w:val="left" w:pos="-720"/>
              </w:tabs>
              <w:suppressAutoHyphens/>
              <w:ind w:right="-360"/>
              <w:jc w:val="both"/>
              <w:rPr>
                <w:spacing w:val="-3"/>
              </w:rPr>
            </w:pPr>
          </w:p>
          <w:p w14:paraId="3F31DC1E" w14:textId="2B1A72AE" w:rsidR="00006EEE" w:rsidRPr="00334BFE" w:rsidRDefault="00006EEE">
            <w:pPr>
              <w:tabs>
                <w:tab w:val="left" w:pos="-720"/>
              </w:tabs>
              <w:suppressAutoHyphens/>
              <w:ind w:right="-360"/>
              <w:jc w:val="both"/>
            </w:pPr>
            <w:r w:rsidRPr="00334BFE">
              <w:rPr>
                <w:spacing w:val="-3"/>
              </w:rPr>
              <w:t>By:</w:t>
            </w:r>
            <w:r w:rsidRPr="00334BFE">
              <w:rPr>
                <w:spacing w:val="-3"/>
              </w:rPr>
              <w:tab/>
              <w:t>___________________________</w:t>
            </w:r>
          </w:p>
          <w:p w14:paraId="76D645EF" w14:textId="77777777" w:rsidR="00006EEE" w:rsidRPr="00334BFE" w:rsidRDefault="00006EEE"/>
          <w:p w14:paraId="1545D644" w14:textId="77777777" w:rsidR="00006EEE" w:rsidRPr="00334BFE" w:rsidRDefault="00006EEE">
            <w:pPr>
              <w:tabs>
                <w:tab w:val="left" w:pos="-720"/>
              </w:tabs>
              <w:suppressAutoHyphens/>
              <w:ind w:right="-360"/>
              <w:jc w:val="both"/>
            </w:pPr>
            <w:r w:rsidRPr="00334BFE">
              <w:rPr>
                <w:spacing w:val="-3"/>
              </w:rPr>
              <w:t>Printed Name:</w:t>
            </w:r>
            <w:r w:rsidRPr="00334BFE">
              <w:rPr>
                <w:spacing w:val="-3"/>
              </w:rPr>
              <w:tab/>
              <w:t>_____________________</w:t>
            </w:r>
          </w:p>
          <w:p w14:paraId="3339ACAC" w14:textId="77777777" w:rsidR="00006EEE" w:rsidRPr="00334BFE" w:rsidRDefault="00006EEE"/>
          <w:p w14:paraId="46A1FE47" w14:textId="77777777" w:rsidR="00006EEE" w:rsidRPr="00334BFE" w:rsidRDefault="00006EEE">
            <w:r w:rsidRPr="00334BFE">
              <w:rPr>
                <w:spacing w:val="-3"/>
              </w:rPr>
              <w:t>Title:</w:t>
            </w:r>
            <w:r w:rsidRPr="00334BFE">
              <w:rPr>
                <w:spacing w:val="-3"/>
              </w:rPr>
              <w:tab/>
              <w:t>___________________________</w:t>
            </w:r>
          </w:p>
        </w:tc>
      </w:tr>
    </w:tbl>
    <w:p w14:paraId="6FFE4FB7" w14:textId="26FF4C2F" w:rsidR="00840344" w:rsidRPr="00334BFE" w:rsidRDefault="00840344" w:rsidP="00B83533">
      <w:pPr>
        <w:spacing w:after="160" w:line="259" w:lineRule="auto"/>
        <w:rPr>
          <w:b/>
        </w:rPr>
      </w:pPr>
    </w:p>
    <w:sectPr w:rsidR="00840344" w:rsidRPr="00334BFE" w:rsidSect="00065089">
      <w:head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0851" w14:textId="77777777" w:rsidR="00B966B9" w:rsidRDefault="00B966B9" w:rsidP="00976FF5">
      <w:r>
        <w:separator/>
      </w:r>
    </w:p>
  </w:endnote>
  <w:endnote w:type="continuationSeparator" w:id="0">
    <w:p w14:paraId="5C4005CB" w14:textId="77777777" w:rsidR="00B966B9" w:rsidRDefault="00B966B9" w:rsidP="00976FF5">
      <w:r>
        <w:continuationSeparator/>
      </w:r>
    </w:p>
  </w:endnote>
  <w:endnote w:type="continuationNotice" w:id="1">
    <w:p w14:paraId="5721BB38" w14:textId="77777777" w:rsidR="00B966B9" w:rsidRDefault="00B9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rrington">
    <w:charset w:val="00"/>
    <w:family w:val="decorativ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nhem Pro Nor">
    <w:altName w:val="Arial"/>
    <w:panose1 w:val="00000000000000000000"/>
    <w:charset w:val="00"/>
    <w:family w:val="modern"/>
    <w:notTrueType/>
    <w:pitch w:val="variable"/>
    <w:sig w:usb0="00000087" w:usb1="00000001"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5103178"/>
      <w:docPartObj>
        <w:docPartGallery w:val="Page Numbers (Bottom of Page)"/>
        <w:docPartUnique/>
      </w:docPartObj>
    </w:sdtPr>
    <w:sdtEndPr>
      <w:rPr>
        <w:rStyle w:val="PageNumber"/>
      </w:rPr>
    </w:sdtEndPr>
    <w:sdtContent>
      <w:p w14:paraId="3268B6BB" w14:textId="34738078" w:rsidR="00C26A98" w:rsidRDefault="00C26A98" w:rsidP="00270B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C26A98" w:rsidRDefault="00C26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713039"/>
      <w:docPartObj>
        <w:docPartGallery w:val="Page Numbers (Bottom of Page)"/>
        <w:docPartUnique/>
      </w:docPartObj>
    </w:sdtPr>
    <w:sdtEndPr>
      <w:rPr>
        <w:rStyle w:val="PageNumber"/>
      </w:rPr>
    </w:sdtEndPr>
    <w:sdtContent>
      <w:p w14:paraId="5177B6E5" w14:textId="137CCC4C" w:rsidR="00C26A98" w:rsidRDefault="00C26A98" w:rsidP="00270B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694767857"/>
      <w:docPartObj>
        <w:docPartGallery w:val="Page Numbers (Bottom of Page)"/>
        <w:docPartUnique/>
      </w:docPartObj>
    </w:sdtPr>
    <w:sdtEndPr>
      <w:rPr>
        <w:noProof/>
      </w:rPr>
    </w:sdtEndPr>
    <w:sdtContent>
      <w:p w14:paraId="2BCDBED9" w14:textId="1DF8B955" w:rsidR="00AB431B" w:rsidRDefault="008E6DC1">
        <w:pPr>
          <w:pStyle w:val="Footer"/>
          <w:jc w:val="right"/>
        </w:pPr>
        <w:r>
          <w:rPr>
            <w:rFonts w:ascii="Arial" w:hAnsi="Arial" w:cs="Arial"/>
            <w:noProof/>
            <w:sz w:val="16"/>
            <w:szCs w:val="16"/>
          </w:rPr>
          <w:tab/>
        </w:r>
        <w:r>
          <w:rPr>
            <w:rFonts w:ascii="Arial" w:hAnsi="Arial" w:cs="Arial"/>
            <w:noProof/>
            <w:sz w:val="16"/>
            <w:szCs w:val="16"/>
          </w:rPr>
          <w:tab/>
        </w:r>
      </w:p>
    </w:sdtContent>
  </w:sdt>
  <w:p w14:paraId="0F1F553D" w14:textId="77777777" w:rsidR="00AB431B" w:rsidRPr="005D2A99" w:rsidRDefault="00AB431B">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D492" w14:textId="77777777" w:rsidR="00511FEA" w:rsidRDefault="00511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C6B11" w14:textId="77777777" w:rsidR="00B966B9" w:rsidRDefault="00B966B9" w:rsidP="00976FF5">
      <w:r>
        <w:separator/>
      </w:r>
    </w:p>
  </w:footnote>
  <w:footnote w:type="continuationSeparator" w:id="0">
    <w:p w14:paraId="4329663B" w14:textId="77777777" w:rsidR="00B966B9" w:rsidRDefault="00B966B9" w:rsidP="00976FF5">
      <w:r>
        <w:continuationSeparator/>
      </w:r>
    </w:p>
  </w:footnote>
  <w:footnote w:type="continuationNotice" w:id="1">
    <w:p w14:paraId="0D6A307F" w14:textId="77777777" w:rsidR="00B966B9" w:rsidRDefault="00B96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E28F" w14:textId="77777777" w:rsidR="00511FEA" w:rsidRDefault="0051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C1498" w14:textId="7FA639AB" w:rsidR="00AB431B" w:rsidRDefault="00AB431B">
    <w:pPr>
      <w:pStyle w:val="Header"/>
    </w:pPr>
  </w:p>
  <w:p w14:paraId="234EFC23" w14:textId="1C6B5E45" w:rsidR="00AB431B" w:rsidRPr="00BD754F" w:rsidRDefault="00AB431B" w:rsidP="005D2A99">
    <w:pPr>
      <w:pStyle w:val="Header"/>
      <w:tabs>
        <w:tab w:val="clear" w:pos="4680"/>
      </w:tabs>
      <w:rPr>
        <w:rFonts w:ascii="Arnhem Pro Nor" w:hAnsi="Arnhem Pro No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D4D6" w14:textId="77777777" w:rsidR="006B5B11" w:rsidRDefault="006B5B11">
    <w:pPr>
      <w:pStyle w:val="Header"/>
      <w:rPr>
        <w:b/>
        <w:bCs/>
      </w:rPr>
    </w:pPr>
  </w:p>
  <w:p w14:paraId="3250AEFB" w14:textId="7F08B572" w:rsidR="005A6CEF" w:rsidRDefault="005A6CEF" w:rsidP="005A6CEF">
    <w:pPr>
      <w:pStyle w:val="Header"/>
      <w:rPr>
        <w:b/>
        <w:bCs/>
      </w:rPr>
    </w:pPr>
    <w:r>
      <w:rPr>
        <w:b/>
      </w:rPr>
      <w:t xml:space="preserve">TERM SHEET FOR </w:t>
    </w:r>
    <w:r w:rsidR="00431573">
      <w:rPr>
        <w:b/>
      </w:rPr>
      <w:t xml:space="preserve">ENERGY </w:t>
    </w:r>
    <w:r>
      <w:rPr>
        <w:b/>
      </w:rPr>
      <w:t xml:space="preserve">STORAGE </w:t>
    </w:r>
  </w:p>
  <w:p w14:paraId="5C55AAD9" w14:textId="3864C45C" w:rsidR="005A6CEF" w:rsidRDefault="005A6CEF" w:rsidP="005A6CEF">
    <w:pPr>
      <w:pStyle w:val="Header"/>
      <w:rPr>
        <w:b/>
        <w:bCs/>
      </w:rPr>
    </w:pPr>
    <w:r>
      <w:rPr>
        <w:b/>
        <w:bCs/>
      </w:rPr>
      <w:t>3</w:t>
    </w:r>
    <w:r w:rsidR="00F112B5">
      <w:rPr>
        <w:b/>
        <w:bCs/>
      </w:rPr>
      <w:t>1</w:t>
    </w:r>
    <w:bookmarkStart w:id="1" w:name="_GoBack"/>
    <w:bookmarkEnd w:id="1"/>
    <w:r w:rsidRPr="006B5B11">
      <w:rPr>
        <w:b/>
        <w:bCs/>
      </w:rPr>
      <w:t xml:space="preserve"> </w:t>
    </w:r>
    <w:r>
      <w:rPr>
        <w:b/>
        <w:bCs/>
      </w:rPr>
      <w:t>JANUARY</w:t>
    </w:r>
    <w:r w:rsidRPr="006B5B11">
      <w:rPr>
        <w:b/>
        <w:bCs/>
      </w:rPr>
      <w:t xml:space="preserve"> 20</w:t>
    </w:r>
    <w:r>
      <w:rPr>
        <w:b/>
        <w:bCs/>
      </w:rPr>
      <w:t>20</w:t>
    </w:r>
  </w:p>
  <w:p w14:paraId="6F62C975" w14:textId="32E4765E" w:rsidR="006B5B11" w:rsidRPr="006B5B11" w:rsidRDefault="006B5B11" w:rsidP="005A6CEF">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7BC3" w14:textId="77777777" w:rsidR="0098039F" w:rsidRDefault="0098039F">
    <w:pPr>
      <w:pStyle w:val="Header"/>
      <w:rPr>
        <w:b/>
        <w:bCs/>
      </w:rPr>
    </w:pPr>
  </w:p>
  <w:p w14:paraId="74A0FDCC" w14:textId="5F357BFC" w:rsidR="0098039F" w:rsidRPr="006B5B11" w:rsidRDefault="0098039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8FE"/>
    <w:multiLevelType w:val="hybridMultilevel"/>
    <w:tmpl w:val="8416A5B4"/>
    <w:lvl w:ilvl="0" w:tplc="B3E03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61809"/>
    <w:multiLevelType w:val="hybridMultilevel"/>
    <w:tmpl w:val="95F68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72C19"/>
    <w:multiLevelType w:val="hybridMultilevel"/>
    <w:tmpl w:val="802A30CA"/>
    <w:lvl w:ilvl="0" w:tplc="18F4B43E">
      <w:start w:val="1"/>
      <w:numFmt w:val="decimal"/>
      <w:lvlText w:val="2.%1"/>
      <w:lvlJc w:val="left"/>
      <w:pPr>
        <w:ind w:left="826" w:hanging="360"/>
      </w:pPr>
      <w:rPr>
        <w:rFonts w:hint="default"/>
        <w:b/>
        <w:bCs/>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0390600F"/>
    <w:multiLevelType w:val="hybridMultilevel"/>
    <w:tmpl w:val="6D9A318A"/>
    <w:lvl w:ilvl="0" w:tplc="336E578A">
      <w:start w:val="1"/>
      <w:numFmt w:val="lowerLetter"/>
      <w:lvlText w:val="(%1)"/>
      <w:lvlJc w:val="left"/>
      <w:pPr>
        <w:ind w:left="720" w:hanging="360"/>
      </w:pPr>
      <w:rPr>
        <w:rFonts w:cs="Times New Roman" w:hint="default"/>
        <w:strike w:val="0"/>
        <w:d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37980"/>
    <w:multiLevelType w:val="hybridMultilevel"/>
    <w:tmpl w:val="CED4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11EA1"/>
    <w:multiLevelType w:val="hybridMultilevel"/>
    <w:tmpl w:val="B6569566"/>
    <w:lvl w:ilvl="0" w:tplc="D49E5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45411"/>
    <w:multiLevelType w:val="hybridMultilevel"/>
    <w:tmpl w:val="91887C08"/>
    <w:lvl w:ilvl="0" w:tplc="8586DCEA">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7" w15:restartNumberingAfterBreak="0">
    <w:nsid w:val="18535F83"/>
    <w:multiLevelType w:val="hybridMultilevel"/>
    <w:tmpl w:val="6F72E47C"/>
    <w:lvl w:ilvl="0" w:tplc="D9FE9458">
      <w:start w:val="1"/>
      <w:numFmt w:val="decimal"/>
      <w:lvlText w:val="(%1)"/>
      <w:lvlJc w:val="left"/>
      <w:pPr>
        <w:ind w:left="720" w:hanging="360"/>
      </w:pPr>
      <w:rPr>
        <w:rFonts w:hint="default"/>
      </w:rPr>
    </w:lvl>
    <w:lvl w:ilvl="1" w:tplc="60FE5B6A" w:tentative="1">
      <w:start w:val="1"/>
      <w:numFmt w:val="lowerLetter"/>
      <w:lvlText w:val="%2."/>
      <w:lvlJc w:val="left"/>
      <w:pPr>
        <w:ind w:left="1440" w:hanging="360"/>
      </w:pPr>
    </w:lvl>
    <w:lvl w:ilvl="2" w:tplc="8190EEEA" w:tentative="1">
      <w:start w:val="1"/>
      <w:numFmt w:val="lowerRoman"/>
      <w:lvlText w:val="%3."/>
      <w:lvlJc w:val="right"/>
      <w:pPr>
        <w:ind w:left="2160" w:hanging="180"/>
      </w:pPr>
    </w:lvl>
    <w:lvl w:ilvl="3" w:tplc="14E6014C" w:tentative="1">
      <w:start w:val="1"/>
      <w:numFmt w:val="decimal"/>
      <w:lvlText w:val="%4."/>
      <w:lvlJc w:val="left"/>
      <w:pPr>
        <w:ind w:left="2880" w:hanging="360"/>
      </w:pPr>
    </w:lvl>
    <w:lvl w:ilvl="4" w:tplc="0A0A69CA" w:tentative="1">
      <w:start w:val="1"/>
      <w:numFmt w:val="lowerLetter"/>
      <w:lvlText w:val="%5."/>
      <w:lvlJc w:val="left"/>
      <w:pPr>
        <w:ind w:left="3600" w:hanging="360"/>
      </w:pPr>
    </w:lvl>
    <w:lvl w:ilvl="5" w:tplc="FE046474" w:tentative="1">
      <w:start w:val="1"/>
      <w:numFmt w:val="lowerRoman"/>
      <w:lvlText w:val="%6."/>
      <w:lvlJc w:val="right"/>
      <w:pPr>
        <w:ind w:left="4320" w:hanging="180"/>
      </w:pPr>
    </w:lvl>
    <w:lvl w:ilvl="6" w:tplc="4A96B72A" w:tentative="1">
      <w:start w:val="1"/>
      <w:numFmt w:val="decimal"/>
      <w:lvlText w:val="%7."/>
      <w:lvlJc w:val="left"/>
      <w:pPr>
        <w:ind w:left="5040" w:hanging="360"/>
      </w:pPr>
    </w:lvl>
    <w:lvl w:ilvl="7" w:tplc="562A25AA" w:tentative="1">
      <w:start w:val="1"/>
      <w:numFmt w:val="lowerLetter"/>
      <w:lvlText w:val="%8."/>
      <w:lvlJc w:val="left"/>
      <w:pPr>
        <w:ind w:left="5760" w:hanging="360"/>
      </w:pPr>
    </w:lvl>
    <w:lvl w:ilvl="8" w:tplc="33ACDC42" w:tentative="1">
      <w:start w:val="1"/>
      <w:numFmt w:val="lowerRoman"/>
      <w:lvlText w:val="%9."/>
      <w:lvlJc w:val="right"/>
      <w:pPr>
        <w:ind w:left="6480" w:hanging="180"/>
      </w:pPr>
    </w:lvl>
  </w:abstractNum>
  <w:abstractNum w:abstractNumId="8" w15:restartNumberingAfterBreak="0">
    <w:nsid w:val="193C4B66"/>
    <w:multiLevelType w:val="multilevel"/>
    <w:tmpl w:val="9DDEBB0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9" w15:restartNumberingAfterBreak="0">
    <w:nsid w:val="197B3C34"/>
    <w:multiLevelType w:val="hybridMultilevel"/>
    <w:tmpl w:val="C374DAD0"/>
    <w:lvl w:ilvl="0" w:tplc="DCCE7CAC">
      <w:start w:val="24"/>
      <w:numFmt w:val="decimal"/>
      <w:lvlText w:val="%1."/>
      <w:lvlJc w:val="left"/>
      <w:pPr>
        <w:ind w:left="826"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810A1A"/>
    <w:multiLevelType w:val="hybridMultilevel"/>
    <w:tmpl w:val="7F149EE0"/>
    <w:lvl w:ilvl="0" w:tplc="436E3B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2216624A"/>
    <w:multiLevelType w:val="hybridMultilevel"/>
    <w:tmpl w:val="0FBE3C98"/>
    <w:lvl w:ilvl="0" w:tplc="EA3A5D30">
      <w:start w:val="1"/>
      <w:numFmt w:val="bullet"/>
      <w:lvlText w:val=""/>
      <w:lvlJc w:val="left"/>
      <w:pPr>
        <w:ind w:left="720" w:hanging="360"/>
      </w:pPr>
      <w:rPr>
        <w:rFonts w:ascii="Symbol" w:hAnsi="Symbol" w:hint="default"/>
      </w:rPr>
    </w:lvl>
    <w:lvl w:ilvl="1" w:tplc="9208A410" w:tentative="1">
      <w:start w:val="1"/>
      <w:numFmt w:val="bullet"/>
      <w:lvlText w:val="o"/>
      <w:lvlJc w:val="left"/>
      <w:pPr>
        <w:ind w:left="1440" w:hanging="360"/>
      </w:pPr>
      <w:rPr>
        <w:rFonts w:ascii="Courier New" w:hAnsi="Courier New" w:cs="Courier New" w:hint="default"/>
      </w:rPr>
    </w:lvl>
    <w:lvl w:ilvl="2" w:tplc="A7E0AD22" w:tentative="1">
      <w:start w:val="1"/>
      <w:numFmt w:val="bullet"/>
      <w:lvlText w:val=""/>
      <w:lvlJc w:val="left"/>
      <w:pPr>
        <w:ind w:left="2160" w:hanging="360"/>
      </w:pPr>
      <w:rPr>
        <w:rFonts w:ascii="Wingdings" w:hAnsi="Wingdings" w:hint="default"/>
      </w:rPr>
    </w:lvl>
    <w:lvl w:ilvl="3" w:tplc="7E8AF766" w:tentative="1">
      <w:start w:val="1"/>
      <w:numFmt w:val="bullet"/>
      <w:lvlText w:val=""/>
      <w:lvlJc w:val="left"/>
      <w:pPr>
        <w:ind w:left="2880" w:hanging="360"/>
      </w:pPr>
      <w:rPr>
        <w:rFonts w:ascii="Symbol" w:hAnsi="Symbol" w:hint="default"/>
      </w:rPr>
    </w:lvl>
    <w:lvl w:ilvl="4" w:tplc="A9F0F75A" w:tentative="1">
      <w:start w:val="1"/>
      <w:numFmt w:val="bullet"/>
      <w:lvlText w:val="o"/>
      <w:lvlJc w:val="left"/>
      <w:pPr>
        <w:ind w:left="3600" w:hanging="360"/>
      </w:pPr>
      <w:rPr>
        <w:rFonts w:ascii="Courier New" w:hAnsi="Courier New" w:cs="Courier New" w:hint="default"/>
      </w:rPr>
    </w:lvl>
    <w:lvl w:ilvl="5" w:tplc="F7C612AE" w:tentative="1">
      <w:start w:val="1"/>
      <w:numFmt w:val="bullet"/>
      <w:lvlText w:val=""/>
      <w:lvlJc w:val="left"/>
      <w:pPr>
        <w:ind w:left="4320" w:hanging="360"/>
      </w:pPr>
      <w:rPr>
        <w:rFonts w:ascii="Wingdings" w:hAnsi="Wingdings" w:hint="default"/>
      </w:rPr>
    </w:lvl>
    <w:lvl w:ilvl="6" w:tplc="E9725836" w:tentative="1">
      <w:start w:val="1"/>
      <w:numFmt w:val="bullet"/>
      <w:lvlText w:val=""/>
      <w:lvlJc w:val="left"/>
      <w:pPr>
        <w:ind w:left="5040" w:hanging="360"/>
      </w:pPr>
      <w:rPr>
        <w:rFonts w:ascii="Symbol" w:hAnsi="Symbol" w:hint="default"/>
      </w:rPr>
    </w:lvl>
    <w:lvl w:ilvl="7" w:tplc="9526477C" w:tentative="1">
      <w:start w:val="1"/>
      <w:numFmt w:val="bullet"/>
      <w:lvlText w:val="o"/>
      <w:lvlJc w:val="left"/>
      <w:pPr>
        <w:ind w:left="5760" w:hanging="360"/>
      </w:pPr>
      <w:rPr>
        <w:rFonts w:ascii="Courier New" w:hAnsi="Courier New" w:cs="Courier New" w:hint="default"/>
      </w:rPr>
    </w:lvl>
    <w:lvl w:ilvl="8" w:tplc="E3AE21D6" w:tentative="1">
      <w:start w:val="1"/>
      <w:numFmt w:val="bullet"/>
      <w:lvlText w:val=""/>
      <w:lvlJc w:val="left"/>
      <w:pPr>
        <w:ind w:left="6480" w:hanging="360"/>
      </w:pPr>
      <w:rPr>
        <w:rFonts w:ascii="Wingdings" w:hAnsi="Wingdings" w:hint="default"/>
      </w:rPr>
    </w:lvl>
  </w:abstractNum>
  <w:abstractNum w:abstractNumId="12" w15:restartNumberingAfterBreak="0">
    <w:nsid w:val="25D63215"/>
    <w:multiLevelType w:val="hybridMultilevel"/>
    <w:tmpl w:val="799CD642"/>
    <w:lvl w:ilvl="0" w:tplc="7B40AD38">
      <w:start w:val="1"/>
      <w:numFmt w:val="decimal"/>
      <w:lvlText w:val="(%1)"/>
      <w:lvlJc w:val="left"/>
      <w:pPr>
        <w:ind w:left="720" w:hanging="360"/>
      </w:pPr>
      <w:rPr>
        <w:rFonts w:hint="default"/>
      </w:rPr>
    </w:lvl>
    <w:lvl w:ilvl="1" w:tplc="B0986ADE" w:tentative="1">
      <w:start w:val="1"/>
      <w:numFmt w:val="lowerLetter"/>
      <w:lvlText w:val="%2."/>
      <w:lvlJc w:val="left"/>
      <w:pPr>
        <w:ind w:left="1440" w:hanging="360"/>
      </w:pPr>
    </w:lvl>
    <w:lvl w:ilvl="2" w:tplc="26D03CDA" w:tentative="1">
      <w:start w:val="1"/>
      <w:numFmt w:val="lowerRoman"/>
      <w:lvlText w:val="%3."/>
      <w:lvlJc w:val="right"/>
      <w:pPr>
        <w:ind w:left="2160" w:hanging="180"/>
      </w:pPr>
    </w:lvl>
    <w:lvl w:ilvl="3" w:tplc="CE762558" w:tentative="1">
      <w:start w:val="1"/>
      <w:numFmt w:val="decimal"/>
      <w:lvlText w:val="%4."/>
      <w:lvlJc w:val="left"/>
      <w:pPr>
        <w:ind w:left="2880" w:hanging="360"/>
      </w:pPr>
    </w:lvl>
    <w:lvl w:ilvl="4" w:tplc="2362C296" w:tentative="1">
      <w:start w:val="1"/>
      <w:numFmt w:val="lowerLetter"/>
      <w:lvlText w:val="%5."/>
      <w:lvlJc w:val="left"/>
      <w:pPr>
        <w:ind w:left="3600" w:hanging="360"/>
      </w:pPr>
    </w:lvl>
    <w:lvl w:ilvl="5" w:tplc="A65C9880" w:tentative="1">
      <w:start w:val="1"/>
      <w:numFmt w:val="lowerRoman"/>
      <w:lvlText w:val="%6."/>
      <w:lvlJc w:val="right"/>
      <w:pPr>
        <w:ind w:left="4320" w:hanging="180"/>
      </w:pPr>
    </w:lvl>
    <w:lvl w:ilvl="6" w:tplc="DC88D3E0" w:tentative="1">
      <w:start w:val="1"/>
      <w:numFmt w:val="decimal"/>
      <w:lvlText w:val="%7."/>
      <w:lvlJc w:val="left"/>
      <w:pPr>
        <w:ind w:left="5040" w:hanging="360"/>
      </w:pPr>
    </w:lvl>
    <w:lvl w:ilvl="7" w:tplc="B0786032" w:tentative="1">
      <w:start w:val="1"/>
      <w:numFmt w:val="lowerLetter"/>
      <w:lvlText w:val="%8."/>
      <w:lvlJc w:val="left"/>
      <w:pPr>
        <w:ind w:left="5760" w:hanging="360"/>
      </w:pPr>
    </w:lvl>
    <w:lvl w:ilvl="8" w:tplc="F230D112" w:tentative="1">
      <w:start w:val="1"/>
      <w:numFmt w:val="lowerRoman"/>
      <w:lvlText w:val="%9."/>
      <w:lvlJc w:val="right"/>
      <w:pPr>
        <w:ind w:left="6480" w:hanging="180"/>
      </w:pPr>
    </w:lvl>
  </w:abstractNum>
  <w:abstractNum w:abstractNumId="13"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14" w15:restartNumberingAfterBreak="0">
    <w:nsid w:val="2BEE1322"/>
    <w:multiLevelType w:val="multilevel"/>
    <w:tmpl w:val="B81C7F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7061EB"/>
    <w:multiLevelType w:val="hybridMultilevel"/>
    <w:tmpl w:val="881E6F58"/>
    <w:lvl w:ilvl="0" w:tplc="372CE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0F7F7F"/>
    <w:multiLevelType w:val="hybridMultilevel"/>
    <w:tmpl w:val="E5C2F54A"/>
    <w:lvl w:ilvl="0" w:tplc="05E2ECC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5385EBF"/>
    <w:multiLevelType w:val="hybridMultilevel"/>
    <w:tmpl w:val="C7968264"/>
    <w:lvl w:ilvl="0" w:tplc="6A1E8810">
      <w:start w:val="1"/>
      <w:numFmt w:val="bullet"/>
      <w:lvlText w:val=""/>
      <w:lvlJc w:val="left"/>
      <w:pPr>
        <w:ind w:left="720" w:hanging="360"/>
      </w:pPr>
      <w:rPr>
        <w:rFonts w:ascii="Symbol" w:hAnsi="Symbol" w:hint="default"/>
      </w:rPr>
    </w:lvl>
    <w:lvl w:ilvl="1" w:tplc="4BDE152E">
      <w:start w:val="1"/>
      <w:numFmt w:val="bullet"/>
      <w:lvlText w:val="o"/>
      <w:lvlJc w:val="left"/>
      <w:pPr>
        <w:ind w:left="1440" w:hanging="360"/>
      </w:pPr>
      <w:rPr>
        <w:rFonts w:ascii="Courier New" w:hAnsi="Courier New" w:cs="Courier New" w:hint="default"/>
      </w:rPr>
    </w:lvl>
    <w:lvl w:ilvl="2" w:tplc="D9AAF766" w:tentative="1">
      <w:start w:val="1"/>
      <w:numFmt w:val="bullet"/>
      <w:lvlText w:val=""/>
      <w:lvlJc w:val="left"/>
      <w:pPr>
        <w:ind w:left="2160" w:hanging="360"/>
      </w:pPr>
      <w:rPr>
        <w:rFonts w:ascii="Wingdings" w:hAnsi="Wingdings" w:hint="default"/>
      </w:rPr>
    </w:lvl>
    <w:lvl w:ilvl="3" w:tplc="877E5724" w:tentative="1">
      <w:start w:val="1"/>
      <w:numFmt w:val="bullet"/>
      <w:lvlText w:val=""/>
      <w:lvlJc w:val="left"/>
      <w:pPr>
        <w:ind w:left="2880" w:hanging="360"/>
      </w:pPr>
      <w:rPr>
        <w:rFonts w:ascii="Symbol" w:hAnsi="Symbol" w:hint="default"/>
      </w:rPr>
    </w:lvl>
    <w:lvl w:ilvl="4" w:tplc="9AA6772E" w:tentative="1">
      <w:start w:val="1"/>
      <w:numFmt w:val="bullet"/>
      <w:lvlText w:val="o"/>
      <w:lvlJc w:val="left"/>
      <w:pPr>
        <w:ind w:left="3600" w:hanging="360"/>
      </w:pPr>
      <w:rPr>
        <w:rFonts w:ascii="Courier New" w:hAnsi="Courier New" w:cs="Courier New" w:hint="default"/>
      </w:rPr>
    </w:lvl>
    <w:lvl w:ilvl="5" w:tplc="C4C07B00" w:tentative="1">
      <w:start w:val="1"/>
      <w:numFmt w:val="bullet"/>
      <w:lvlText w:val=""/>
      <w:lvlJc w:val="left"/>
      <w:pPr>
        <w:ind w:left="4320" w:hanging="360"/>
      </w:pPr>
      <w:rPr>
        <w:rFonts w:ascii="Wingdings" w:hAnsi="Wingdings" w:hint="default"/>
      </w:rPr>
    </w:lvl>
    <w:lvl w:ilvl="6" w:tplc="3E62A5A8" w:tentative="1">
      <w:start w:val="1"/>
      <w:numFmt w:val="bullet"/>
      <w:lvlText w:val=""/>
      <w:lvlJc w:val="left"/>
      <w:pPr>
        <w:ind w:left="5040" w:hanging="360"/>
      </w:pPr>
      <w:rPr>
        <w:rFonts w:ascii="Symbol" w:hAnsi="Symbol" w:hint="default"/>
      </w:rPr>
    </w:lvl>
    <w:lvl w:ilvl="7" w:tplc="8E68B7B2" w:tentative="1">
      <w:start w:val="1"/>
      <w:numFmt w:val="bullet"/>
      <w:lvlText w:val="o"/>
      <w:lvlJc w:val="left"/>
      <w:pPr>
        <w:ind w:left="5760" w:hanging="360"/>
      </w:pPr>
      <w:rPr>
        <w:rFonts w:ascii="Courier New" w:hAnsi="Courier New" w:cs="Courier New" w:hint="default"/>
      </w:rPr>
    </w:lvl>
    <w:lvl w:ilvl="8" w:tplc="C5F83904" w:tentative="1">
      <w:start w:val="1"/>
      <w:numFmt w:val="bullet"/>
      <w:lvlText w:val=""/>
      <w:lvlJc w:val="left"/>
      <w:pPr>
        <w:ind w:left="6480" w:hanging="360"/>
      </w:pPr>
      <w:rPr>
        <w:rFonts w:ascii="Wingdings" w:hAnsi="Wingdings" w:hint="default"/>
      </w:rPr>
    </w:lvl>
  </w:abstractNum>
  <w:abstractNum w:abstractNumId="18" w15:restartNumberingAfterBreak="0">
    <w:nsid w:val="36935F7A"/>
    <w:multiLevelType w:val="hybridMultilevel"/>
    <w:tmpl w:val="254C623C"/>
    <w:lvl w:ilvl="0" w:tplc="816C84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369D757A"/>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38723F4C"/>
    <w:multiLevelType w:val="hybridMultilevel"/>
    <w:tmpl w:val="205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052EE"/>
    <w:multiLevelType w:val="hybridMultilevel"/>
    <w:tmpl w:val="6308AD8E"/>
    <w:lvl w:ilvl="0" w:tplc="04090001">
      <w:start w:val="1"/>
      <w:numFmt w:val="lowerRoman"/>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42200975"/>
    <w:multiLevelType w:val="hybridMultilevel"/>
    <w:tmpl w:val="8E6EA71A"/>
    <w:lvl w:ilvl="0" w:tplc="2D58D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4588E"/>
    <w:multiLevelType w:val="hybridMultilevel"/>
    <w:tmpl w:val="1018A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7803B7"/>
    <w:multiLevelType w:val="hybridMultilevel"/>
    <w:tmpl w:val="1F02016A"/>
    <w:lvl w:ilvl="0" w:tplc="7C86B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B0AAB"/>
    <w:multiLevelType w:val="hybridMultilevel"/>
    <w:tmpl w:val="84786F3A"/>
    <w:lvl w:ilvl="0" w:tplc="CF265A60">
      <w:start w:val="1"/>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15:restartNumberingAfterBreak="0">
    <w:nsid w:val="482A41A6"/>
    <w:multiLevelType w:val="hybridMultilevel"/>
    <w:tmpl w:val="9BF6D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29" w15:restartNumberingAfterBreak="0">
    <w:nsid w:val="53C45184"/>
    <w:multiLevelType w:val="multilevel"/>
    <w:tmpl w:val="F4C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A46988"/>
    <w:multiLevelType w:val="hybridMultilevel"/>
    <w:tmpl w:val="BF60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32"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33" w15:restartNumberingAfterBreak="0">
    <w:nsid w:val="5D775EB9"/>
    <w:multiLevelType w:val="hybridMultilevel"/>
    <w:tmpl w:val="75885F1E"/>
    <w:lvl w:ilvl="0" w:tplc="D49E53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5DCE6AAC"/>
    <w:multiLevelType w:val="hybridMultilevel"/>
    <w:tmpl w:val="2C04DB42"/>
    <w:lvl w:ilvl="0" w:tplc="F39095AA">
      <w:start w:val="1"/>
      <w:numFmt w:val="bullet"/>
      <w:lvlText w:val=""/>
      <w:lvlJc w:val="left"/>
      <w:pPr>
        <w:ind w:left="720" w:hanging="360"/>
      </w:pPr>
      <w:rPr>
        <w:rFonts w:ascii="Symbol" w:hAnsi="Symbol" w:hint="default"/>
      </w:rPr>
    </w:lvl>
    <w:lvl w:ilvl="1" w:tplc="48427430" w:tentative="1">
      <w:start w:val="1"/>
      <w:numFmt w:val="bullet"/>
      <w:lvlText w:val="o"/>
      <w:lvlJc w:val="left"/>
      <w:pPr>
        <w:ind w:left="1440" w:hanging="360"/>
      </w:pPr>
      <w:rPr>
        <w:rFonts w:ascii="Courier New" w:hAnsi="Courier New" w:cs="Courier New" w:hint="default"/>
      </w:rPr>
    </w:lvl>
    <w:lvl w:ilvl="2" w:tplc="B980F358" w:tentative="1">
      <w:start w:val="1"/>
      <w:numFmt w:val="bullet"/>
      <w:lvlText w:val=""/>
      <w:lvlJc w:val="left"/>
      <w:pPr>
        <w:ind w:left="2160" w:hanging="360"/>
      </w:pPr>
      <w:rPr>
        <w:rFonts w:ascii="Wingdings" w:hAnsi="Wingdings" w:hint="default"/>
      </w:rPr>
    </w:lvl>
    <w:lvl w:ilvl="3" w:tplc="38324D78" w:tentative="1">
      <w:start w:val="1"/>
      <w:numFmt w:val="bullet"/>
      <w:lvlText w:val=""/>
      <w:lvlJc w:val="left"/>
      <w:pPr>
        <w:ind w:left="2880" w:hanging="360"/>
      </w:pPr>
      <w:rPr>
        <w:rFonts w:ascii="Symbol" w:hAnsi="Symbol" w:hint="default"/>
      </w:rPr>
    </w:lvl>
    <w:lvl w:ilvl="4" w:tplc="5A64282A" w:tentative="1">
      <w:start w:val="1"/>
      <w:numFmt w:val="bullet"/>
      <w:lvlText w:val="o"/>
      <w:lvlJc w:val="left"/>
      <w:pPr>
        <w:ind w:left="3600" w:hanging="360"/>
      </w:pPr>
      <w:rPr>
        <w:rFonts w:ascii="Courier New" w:hAnsi="Courier New" w:cs="Courier New" w:hint="default"/>
      </w:rPr>
    </w:lvl>
    <w:lvl w:ilvl="5" w:tplc="570CD5E8" w:tentative="1">
      <w:start w:val="1"/>
      <w:numFmt w:val="bullet"/>
      <w:lvlText w:val=""/>
      <w:lvlJc w:val="left"/>
      <w:pPr>
        <w:ind w:left="4320" w:hanging="360"/>
      </w:pPr>
      <w:rPr>
        <w:rFonts w:ascii="Wingdings" w:hAnsi="Wingdings" w:hint="default"/>
      </w:rPr>
    </w:lvl>
    <w:lvl w:ilvl="6" w:tplc="A2029322" w:tentative="1">
      <w:start w:val="1"/>
      <w:numFmt w:val="bullet"/>
      <w:lvlText w:val=""/>
      <w:lvlJc w:val="left"/>
      <w:pPr>
        <w:ind w:left="5040" w:hanging="360"/>
      </w:pPr>
      <w:rPr>
        <w:rFonts w:ascii="Symbol" w:hAnsi="Symbol" w:hint="default"/>
      </w:rPr>
    </w:lvl>
    <w:lvl w:ilvl="7" w:tplc="03A2DDA6" w:tentative="1">
      <w:start w:val="1"/>
      <w:numFmt w:val="bullet"/>
      <w:lvlText w:val="o"/>
      <w:lvlJc w:val="left"/>
      <w:pPr>
        <w:ind w:left="5760" w:hanging="360"/>
      </w:pPr>
      <w:rPr>
        <w:rFonts w:ascii="Courier New" w:hAnsi="Courier New" w:cs="Courier New" w:hint="default"/>
      </w:rPr>
    </w:lvl>
    <w:lvl w:ilvl="8" w:tplc="AF9096A0" w:tentative="1">
      <w:start w:val="1"/>
      <w:numFmt w:val="bullet"/>
      <w:lvlText w:val=""/>
      <w:lvlJc w:val="left"/>
      <w:pPr>
        <w:ind w:left="6480" w:hanging="360"/>
      </w:pPr>
      <w:rPr>
        <w:rFonts w:ascii="Wingdings" w:hAnsi="Wingdings" w:hint="default"/>
      </w:rPr>
    </w:lvl>
  </w:abstractNum>
  <w:abstractNum w:abstractNumId="35" w15:restartNumberingAfterBreak="0">
    <w:nsid w:val="5E553681"/>
    <w:multiLevelType w:val="hybridMultilevel"/>
    <w:tmpl w:val="68CCF342"/>
    <w:lvl w:ilvl="0" w:tplc="82D47CC6">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36"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703804"/>
    <w:multiLevelType w:val="multilevel"/>
    <w:tmpl w:val="42D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504F7"/>
    <w:multiLevelType w:val="hybridMultilevel"/>
    <w:tmpl w:val="7B700DA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654C6382"/>
    <w:multiLevelType w:val="hybridMultilevel"/>
    <w:tmpl w:val="8CD8AADE"/>
    <w:lvl w:ilvl="0" w:tplc="04090001">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41" w15:restartNumberingAfterBreak="0">
    <w:nsid w:val="776A6143"/>
    <w:multiLevelType w:val="hybridMultilevel"/>
    <w:tmpl w:val="A57AA12E"/>
    <w:lvl w:ilvl="0" w:tplc="CDF83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576DD"/>
    <w:multiLevelType w:val="hybridMultilevel"/>
    <w:tmpl w:val="8B1E7F56"/>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44"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abstractNumId w:val="5"/>
  </w:num>
  <w:num w:numId="2">
    <w:abstractNumId w:val="30"/>
  </w:num>
  <w:num w:numId="3">
    <w:abstractNumId w:val="10"/>
  </w:num>
  <w:num w:numId="4">
    <w:abstractNumId w:val="32"/>
  </w:num>
  <w:num w:numId="5">
    <w:abstractNumId w:val="7"/>
  </w:num>
  <w:num w:numId="6">
    <w:abstractNumId w:val="19"/>
  </w:num>
  <w:num w:numId="7">
    <w:abstractNumId w:val="15"/>
  </w:num>
  <w:num w:numId="8">
    <w:abstractNumId w:val="17"/>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7"/>
  </w:num>
  <w:num w:numId="13">
    <w:abstractNumId w:val="16"/>
  </w:num>
  <w:num w:numId="14">
    <w:abstractNumId w:val="21"/>
  </w:num>
  <w:num w:numId="15">
    <w:abstractNumId w:val="42"/>
  </w:num>
  <w:num w:numId="16">
    <w:abstractNumId w:val="20"/>
  </w:num>
  <w:num w:numId="17">
    <w:abstractNumId w:val="38"/>
  </w:num>
  <w:num w:numId="18">
    <w:abstractNumId w:val="33"/>
  </w:num>
  <w:num w:numId="19">
    <w:abstractNumId w:val="18"/>
  </w:num>
  <w:num w:numId="20">
    <w:abstractNumId w:val="26"/>
  </w:num>
  <w:num w:numId="21">
    <w:abstractNumId w:val="13"/>
  </w:num>
  <w:num w:numId="22">
    <w:abstractNumId w:val="39"/>
  </w:num>
  <w:num w:numId="23">
    <w:abstractNumId w:val="12"/>
  </w:num>
  <w:num w:numId="24">
    <w:abstractNumId w:val="1"/>
  </w:num>
  <w:num w:numId="25">
    <w:abstractNumId w:val="35"/>
  </w:num>
  <w:num w:numId="26">
    <w:abstractNumId w:val="0"/>
  </w:num>
  <w:num w:numId="27">
    <w:abstractNumId w:val="40"/>
  </w:num>
  <w:num w:numId="28">
    <w:abstractNumId w:val="36"/>
  </w:num>
  <w:num w:numId="29">
    <w:abstractNumId w:val="24"/>
  </w:num>
  <w:num w:numId="30">
    <w:abstractNumId w:val="31"/>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num>
  <w:num w:numId="35">
    <w:abstractNumId w:val="8"/>
    <w:lvlOverride w:ilvl="0">
      <w:lvl w:ilvl="0">
        <w:start w:val="1"/>
        <w:numFmt w:val="decimal"/>
        <w:suff w:val="nothing"/>
        <w:lvlText w:val="ARTICLE %1"/>
        <w:lvlJc w:val="left"/>
        <w:rPr>
          <w:rFonts w:ascii="Times New Roman Bold" w:hAnsi="Times New Roman Bold" w:cs="Cambria"/>
          <w:b/>
          <w:bCs/>
          <w:strike w:val="0"/>
          <w:dstrike w:val="0"/>
          <w:sz w:val="24"/>
          <w:szCs w:val="24"/>
        </w:rPr>
      </w:lvl>
    </w:lvlOverride>
    <w:lvlOverride w:ilvl="1">
      <w:lvl w:ilvl="1">
        <w:start w:val="1"/>
        <w:numFmt w:val="decimal"/>
        <w:lvlText w:val="%1.%2"/>
        <w:lvlJc w:val="left"/>
        <w:pPr>
          <w:tabs>
            <w:tab w:val="left" w:pos="1440"/>
          </w:tabs>
          <w:ind w:firstLine="720"/>
        </w:pPr>
        <w:rPr>
          <w:rFonts w:ascii="Times New Roman" w:hAnsi="Times New Roman" w:cs="Times New Roman"/>
          <w:b w:val="0"/>
          <w:bCs w:val="0"/>
          <w:i w:val="0"/>
          <w:iCs w:val="0"/>
          <w:caps w:val="0"/>
          <w:strike w:val="0"/>
          <w:dstrike w:val="0"/>
          <w:sz w:val="24"/>
          <w:szCs w:val="24"/>
        </w:rPr>
      </w:lvl>
    </w:lvlOverride>
    <w:lvlOverride w:ilvl="2">
      <w:lvl w:ilvl="2">
        <w:start w:val="1"/>
        <w:numFmt w:val="lowerLetter"/>
        <w:lvlText w:val="(%3)"/>
        <w:lvlJc w:val="left"/>
        <w:pPr>
          <w:tabs>
            <w:tab w:val="left" w:pos="2250"/>
          </w:tabs>
          <w:ind w:firstLine="1440"/>
        </w:pPr>
        <w:rPr>
          <w:rFonts w:ascii="Times New Roman" w:hAnsi="Times New Roman" w:cs="Times New Roman"/>
          <w:b w:val="0"/>
          <w:i w:val="0"/>
          <w:iCs w:val="0"/>
          <w:strike w:val="0"/>
          <w:dstrike w:val="0"/>
          <w:color w:val="auto"/>
          <w:sz w:val="24"/>
          <w:szCs w:val="24"/>
        </w:rPr>
      </w:lvl>
    </w:lvlOverride>
    <w:lvlOverride w:ilvl="3">
      <w:lvl w:ilvl="3">
        <w:start w:val="1"/>
        <w:numFmt w:val="lowerRoman"/>
        <w:lvlText w:val="(%4)"/>
        <w:lvlJc w:val="left"/>
        <w:pPr>
          <w:tabs>
            <w:tab w:val="left" w:pos="3240"/>
          </w:tabs>
          <w:ind w:left="360" w:firstLine="2160"/>
        </w:pPr>
        <w:rPr>
          <w:rFonts w:ascii="Times New Roman" w:hAnsi="Times New Roman" w:cs="Times New Roman"/>
          <w:b w:val="0"/>
          <w:bCs w:val="0"/>
          <w:i w:val="0"/>
          <w:iCs w:val="0"/>
          <w:strike w:val="0"/>
          <w:dstrike w:val="0"/>
          <w:sz w:val="24"/>
          <w:szCs w:val="24"/>
        </w:rPr>
      </w:lvl>
    </w:lvlOverride>
    <w:lvlOverride w:ilvl="4">
      <w:lvl w:ilvl="4">
        <w:start w:val="1"/>
        <w:numFmt w:val="upperLetter"/>
        <w:lvlText w:val="(%5)"/>
        <w:lvlJc w:val="left"/>
        <w:pPr>
          <w:tabs>
            <w:tab w:val="left" w:pos="3600"/>
          </w:tabs>
          <w:ind w:left="2880"/>
        </w:pPr>
        <w:rPr>
          <w:rFonts w:ascii="Harrington" w:hAnsi="Harrington" w:cs="Cambria"/>
          <w:b w:val="0"/>
          <w:bCs w:val="0"/>
          <w:i w:val="0"/>
          <w:iCs w:val="0"/>
          <w:strike w:val="0"/>
          <w:dstrike w:val="0"/>
          <w:sz w:val="24"/>
          <w:szCs w:val="24"/>
        </w:rPr>
      </w:lvl>
    </w:lvlOverride>
    <w:lvlOverride w:ilvl="5">
      <w:lvl w:ilvl="5">
        <w:start w:val="1"/>
        <w:numFmt w:val="lowerRoman"/>
        <w:lvlText w:val="(%6)"/>
        <w:lvlJc w:val="left"/>
        <w:pPr>
          <w:tabs>
            <w:tab w:val="left" w:pos="1440"/>
          </w:tabs>
          <w:ind w:left="1440"/>
        </w:pPr>
        <w:rPr>
          <w:rFonts w:cs="Times New Roman"/>
          <w:strike w:val="0"/>
          <w:dstrike w:val="0"/>
        </w:rPr>
      </w:lvl>
    </w:lvlOverride>
    <w:lvlOverride w:ilvl="6">
      <w:lvl w:ilvl="6">
        <w:start w:val="1"/>
        <w:numFmt w:val="decimal"/>
        <w:lvlText w:val="%7."/>
        <w:lvlJc w:val="left"/>
        <w:pPr>
          <w:tabs>
            <w:tab w:val="left" w:pos="1440"/>
          </w:tabs>
          <w:ind w:left="1440"/>
        </w:pPr>
        <w:rPr>
          <w:rFonts w:cs="Times New Roman"/>
          <w:strike w:val="0"/>
          <w:dstrike w:val="0"/>
        </w:rPr>
      </w:lvl>
    </w:lvlOverride>
    <w:lvlOverride w:ilvl="7">
      <w:lvl w:ilvl="7">
        <w:start w:val="1"/>
        <w:numFmt w:val="lowerLetter"/>
        <w:lvlText w:val="(%8)"/>
        <w:lvlJc w:val="left"/>
        <w:pPr>
          <w:tabs>
            <w:tab w:val="left" w:pos="1440"/>
          </w:tabs>
          <w:ind w:left="1440"/>
        </w:pPr>
        <w:rPr>
          <w:rFonts w:ascii="Times New Roman" w:eastAsia="Times New Roman" w:hAnsi="Times New Roman" w:cs="Times New Roman"/>
          <w:strike w:val="0"/>
          <w:dstrike w:val="0"/>
        </w:rPr>
      </w:lvl>
    </w:lvlOverride>
    <w:lvlOverride w:ilvl="8">
      <w:lvl w:ilvl="8">
        <w:start w:val="1"/>
        <w:numFmt w:val="lowerRoman"/>
        <w:lvlText w:val="%9."/>
        <w:lvlJc w:val="left"/>
        <w:pPr>
          <w:tabs>
            <w:tab w:val="left" w:pos="1440"/>
          </w:tabs>
          <w:ind w:left="1440"/>
        </w:pPr>
        <w:rPr>
          <w:rFonts w:cs="Times New Roman"/>
          <w:strike w:val="0"/>
          <w:dstrike w:val="0"/>
        </w:rPr>
      </w:lvl>
    </w:lvlOverride>
  </w:num>
  <w:num w:numId="36">
    <w:abstractNumId w:val="8"/>
  </w:num>
  <w:num w:numId="37">
    <w:abstractNumId w:val="41"/>
  </w:num>
  <w:num w:numId="38">
    <w:abstractNumId w:val="11"/>
  </w:num>
  <w:num w:numId="39">
    <w:abstractNumId w:val="6"/>
  </w:num>
  <w:num w:numId="40">
    <w:abstractNumId w:val="27"/>
  </w:num>
  <w:num w:numId="41">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
  </w:num>
  <w:num w:numId="44">
    <w:abstractNumId w:val="22"/>
  </w:num>
  <w:num w:numId="45">
    <w:abstractNumId w:val="43"/>
  </w:num>
  <w:num w:numId="46">
    <w:abstractNumId w:val="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1FC2"/>
    <w:rsid w:val="00001FD8"/>
    <w:rsid w:val="00002127"/>
    <w:rsid w:val="00004729"/>
    <w:rsid w:val="00005184"/>
    <w:rsid w:val="000066F5"/>
    <w:rsid w:val="00006EEE"/>
    <w:rsid w:val="00013AD4"/>
    <w:rsid w:val="000155AA"/>
    <w:rsid w:val="000211DF"/>
    <w:rsid w:val="000271F6"/>
    <w:rsid w:val="0003312F"/>
    <w:rsid w:val="00036807"/>
    <w:rsid w:val="0003721A"/>
    <w:rsid w:val="00037470"/>
    <w:rsid w:val="000469C3"/>
    <w:rsid w:val="0005352D"/>
    <w:rsid w:val="000536FC"/>
    <w:rsid w:val="00065089"/>
    <w:rsid w:val="000650C8"/>
    <w:rsid w:val="00066765"/>
    <w:rsid w:val="0007559C"/>
    <w:rsid w:val="00080E31"/>
    <w:rsid w:val="00081B65"/>
    <w:rsid w:val="00084D44"/>
    <w:rsid w:val="000900E3"/>
    <w:rsid w:val="00093D80"/>
    <w:rsid w:val="00094A4A"/>
    <w:rsid w:val="00097B1F"/>
    <w:rsid w:val="000A2A89"/>
    <w:rsid w:val="000A303B"/>
    <w:rsid w:val="000B0870"/>
    <w:rsid w:val="000B286C"/>
    <w:rsid w:val="000B4C2A"/>
    <w:rsid w:val="000B4E0D"/>
    <w:rsid w:val="000B64DB"/>
    <w:rsid w:val="000C21BE"/>
    <w:rsid w:val="000C4CCD"/>
    <w:rsid w:val="000C51A1"/>
    <w:rsid w:val="000C64D3"/>
    <w:rsid w:val="000D3D19"/>
    <w:rsid w:val="000D50B2"/>
    <w:rsid w:val="000D5F88"/>
    <w:rsid w:val="000D6EC6"/>
    <w:rsid w:val="000D7813"/>
    <w:rsid w:val="000E2F15"/>
    <w:rsid w:val="000E631A"/>
    <w:rsid w:val="000E63D3"/>
    <w:rsid w:val="000E71CB"/>
    <w:rsid w:val="000F6907"/>
    <w:rsid w:val="001061D2"/>
    <w:rsid w:val="00106528"/>
    <w:rsid w:val="001107BF"/>
    <w:rsid w:val="00111D81"/>
    <w:rsid w:val="001126BE"/>
    <w:rsid w:val="0013398A"/>
    <w:rsid w:val="00143C1F"/>
    <w:rsid w:val="00147A2F"/>
    <w:rsid w:val="00151731"/>
    <w:rsid w:val="0015401B"/>
    <w:rsid w:val="001558F3"/>
    <w:rsid w:val="00155DCF"/>
    <w:rsid w:val="00160B24"/>
    <w:rsid w:val="00161AC7"/>
    <w:rsid w:val="00163B29"/>
    <w:rsid w:val="00163FB2"/>
    <w:rsid w:val="00164B57"/>
    <w:rsid w:val="00172DCF"/>
    <w:rsid w:val="00174416"/>
    <w:rsid w:val="00181090"/>
    <w:rsid w:val="001829CC"/>
    <w:rsid w:val="00182F8C"/>
    <w:rsid w:val="00183232"/>
    <w:rsid w:val="00183DA9"/>
    <w:rsid w:val="001841B7"/>
    <w:rsid w:val="00193F8C"/>
    <w:rsid w:val="00194D43"/>
    <w:rsid w:val="00195344"/>
    <w:rsid w:val="001957D7"/>
    <w:rsid w:val="00196DDB"/>
    <w:rsid w:val="001978A3"/>
    <w:rsid w:val="001A1866"/>
    <w:rsid w:val="001A1E2E"/>
    <w:rsid w:val="001A39B9"/>
    <w:rsid w:val="001A7A7D"/>
    <w:rsid w:val="001A7BFC"/>
    <w:rsid w:val="001B2A89"/>
    <w:rsid w:val="001B480F"/>
    <w:rsid w:val="001B6AB0"/>
    <w:rsid w:val="001C04E2"/>
    <w:rsid w:val="001C0AD6"/>
    <w:rsid w:val="001C2A90"/>
    <w:rsid w:val="001D0D69"/>
    <w:rsid w:val="001D6363"/>
    <w:rsid w:val="001D700D"/>
    <w:rsid w:val="001D7FB7"/>
    <w:rsid w:val="001E43DC"/>
    <w:rsid w:val="001F2FF9"/>
    <w:rsid w:val="001F3217"/>
    <w:rsid w:val="001F71A9"/>
    <w:rsid w:val="0020332D"/>
    <w:rsid w:val="00203569"/>
    <w:rsid w:val="00205714"/>
    <w:rsid w:val="002156B6"/>
    <w:rsid w:val="002203DC"/>
    <w:rsid w:val="00222E8E"/>
    <w:rsid w:val="00227065"/>
    <w:rsid w:val="0022758B"/>
    <w:rsid w:val="00237663"/>
    <w:rsid w:val="00237B92"/>
    <w:rsid w:val="002438B8"/>
    <w:rsid w:val="002443B2"/>
    <w:rsid w:val="0025626A"/>
    <w:rsid w:val="002623FC"/>
    <w:rsid w:val="00267633"/>
    <w:rsid w:val="002715C3"/>
    <w:rsid w:val="00273722"/>
    <w:rsid w:val="00273945"/>
    <w:rsid w:val="00274213"/>
    <w:rsid w:val="00281AB5"/>
    <w:rsid w:val="00285A5B"/>
    <w:rsid w:val="00292876"/>
    <w:rsid w:val="002928D7"/>
    <w:rsid w:val="002929C5"/>
    <w:rsid w:val="00294E3B"/>
    <w:rsid w:val="002A1729"/>
    <w:rsid w:val="002A3B33"/>
    <w:rsid w:val="002D1471"/>
    <w:rsid w:val="002D3114"/>
    <w:rsid w:val="002D3D13"/>
    <w:rsid w:val="002D7833"/>
    <w:rsid w:val="002E1F5F"/>
    <w:rsid w:val="002E2516"/>
    <w:rsid w:val="002E2C17"/>
    <w:rsid w:val="002E5AE0"/>
    <w:rsid w:val="002E5D17"/>
    <w:rsid w:val="002F0E60"/>
    <w:rsid w:val="00302BAD"/>
    <w:rsid w:val="00305BF3"/>
    <w:rsid w:val="00305D1B"/>
    <w:rsid w:val="00307CEF"/>
    <w:rsid w:val="00321216"/>
    <w:rsid w:val="00323F9D"/>
    <w:rsid w:val="00326C84"/>
    <w:rsid w:val="00331144"/>
    <w:rsid w:val="003315D1"/>
    <w:rsid w:val="00331787"/>
    <w:rsid w:val="00332F8A"/>
    <w:rsid w:val="00334BFE"/>
    <w:rsid w:val="00341CEF"/>
    <w:rsid w:val="00344066"/>
    <w:rsid w:val="00344551"/>
    <w:rsid w:val="00345352"/>
    <w:rsid w:val="00346B70"/>
    <w:rsid w:val="0035005E"/>
    <w:rsid w:val="00350969"/>
    <w:rsid w:val="0035281B"/>
    <w:rsid w:val="00355198"/>
    <w:rsid w:val="003551A3"/>
    <w:rsid w:val="003565A0"/>
    <w:rsid w:val="00356F5F"/>
    <w:rsid w:val="003617F6"/>
    <w:rsid w:val="003623E6"/>
    <w:rsid w:val="003637AA"/>
    <w:rsid w:val="00367A2D"/>
    <w:rsid w:val="0037063E"/>
    <w:rsid w:val="00376ADD"/>
    <w:rsid w:val="003776E7"/>
    <w:rsid w:val="00380855"/>
    <w:rsid w:val="00381DE4"/>
    <w:rsid w:val="00381EE3"/>
    <w:rsid w:val="0039098B"/>
    <w:rsid w:val="003A5417"/>
    <w:rsid w:val="003B3851"/>
    <w:rsid w:val="003B5736"/>
    <w:rsid w:val="003B6319"/>
    <w:rsid w:val="003C28BF"/>
    <w:rsid w:val="003C4785"/>
    <w:rsid w:val="003C53E1"/>
    <w:rsid w:val="003C6073"/>
    <w:rsid w:val="003C6ADF"/>
    <w:rsid w:val="003D0015"/>
    <w:rsid w:val="003D3EA2"/>
    <w:rsid w:val="003E42A6"/>
    <w:rsid w:val="003E4E88"/>
    <w:rsid w:val="003E6E93"/>
    <w:rsid w:val="003F2574"/>
    <w:rsid w:val="003F5336"/>
    <w:rsid w:val="003F7297"/>
    <w:rsid w:val="00402980"/>
    <w:rsid w:val="00403A4D"/>
    <w:rsid w:val="0040739A"/>
    <w:rsid w:val="004108E8"/>
    <w:rsid w:val="00411278"/>
    <w:rsid w:val="004154CE"/>
    <w:rsid w:val="00416E42"/>
    <w:rsid w:val="00425469"/>
    <w:rsid w:val="0042707B"/>
    <w:rsid w:val="00431573"/>
    <w:rsid w:val="004327D8"/>
    <w:rsid w:val="004346D5"/>
    <w:rsid w:val="00436547"/>
    <w:rsid w:val="00445206"/>
    <w:rsid w:val="004470BF"/>
    <w:rsid w:val="00451364"/>
    <w:rsid w:val="00453154"/>
    <w:rsid w:val="004548EA"/>
    <w:rsid w:val="00456957"/>
    <w:rsid w:val="00461888"/>
    <w:rsid w:val="00463554"/>
    <w:rsid w:val="004678DF"/>
    <w:rsid w:val="00471C20"/>
    <w:rsid w:val="00475ADD"/>
    <w:rsid w:val="00490AB1"/>
    <w:rsid w:val="004947A6"/>
    <w:rsid w:val="00496E17"/>
    <w:rsid w:val="00497D78"/>
    <w:rsid w:val="004A61CF"/>
    <w:rsid w:val="004B0387"/>
    <w:rsid w:val="004B2EDA"/>
    <w:rsid w:val="004B3393"/>
    <w:rsid w:val="004C21D8"/>
    <w:rsid w:val="004C29EA"/>
    <w:rsid w:val="004C2CC2"/>
    <w:rsid w:val="004C3329"/>
    <w:rsid w:val="004C4953"/>
    <w:rsid w:val="004C6950"/>
    <w:rsid w:val="004D51CE"/>
    <w:rsid w:val="004E0173"/>
    <w:rsid w:val="004E6F64"/>
    <w:rsid w:val="004F170B"/>
    <w:rsid w:val="004F53DA"/>
    <w:rsid w:val="004F679B"/>
    <w:rsid w:val="004F6EFB"/>
    <w:rsid w:val="004F753F"/>
    <w:rsid w:val="005068CD"/>
    <w:rsid w:val="00511FEA"/>
    <w:rsid w:val="00523BF9"/>
    <w:rsid w:val="00530770"/>
    <w:rsid w:val="005341AD"/>
    <w:rsid w:val="00535D4F"/>
    <w:rsid w:val="00535F5E"/>
    <w:rsid w:val="00540845"/>
    <w:rsid w:val="005421DE"/>
    <w:rsid w:val="005424E5"/>
    <w:rsid w:val="0054674B"/>
    <w:rsid w:val="00551818"/>
    <w:rsid w:val="0055231C"/>
    <w:rsid w:val="00554506"/>
    <w:rsid w:val="00555BA1"/>
    <w:rsid w:val="00555F72"/>
    <w:rsid w:val="00573103"/>
    <w:rsid w:val="00576253"/>
    <w:rsid w:val="00576E5D"/>
    <w:rsid w:val="00577F9F"/>
    <w:rsid w:val="005945D8"/>
    <w:rsid w:val="00595010"/>
    <w:rsid w:val="005A3C26"/>
    <w:rsid w:val="005A44D4"/>
    <w:rsid w:val="005A5B1F"/>
    <w:rsid w:val="005A6CEF"/>
    <w:rsid w:val="005A7361"/>
    <w:rsid w:val="005B45D2"/>
    <w:rsid w:val="005C5C58"/>
    <w:rsid w:val="005C6000"/>
    <w:rsid w:val="005D2A99"/>
    <w:rsid w:val="005D4A9F"/>
    <w:rsid w:val="005E463E"/>
    <w:rsid w:val="005E5192"/>
    <w:rsid w:val="005E75D3"/>
    <w:rsid w:val="005F0EEA"/>
    <w:rsid w:val="005F1FC7"/>
    <w:rsid w:val="005F2116"/>
    <w:rsid w:val="005F3069"/>
    <w:rsid w:val="005F79F0"/>
    <w:rsid w:val="00600713"/>
    <w:rsid w:val="0060192D"/>
    <w:rsid w:val="006019DD"/>
    <w:rsid w:val="0060307C"/>
    <w:rsid w:val="00603AF5"/>
    <w:rsid w:val="006065C7"/>
    <w:rsid w:val="00606DA9"/>
    <w:rsid w:val="006076C9"/>
    <w:rsid w:val="00612806"/>
    <w:rsid w:val="00621EB8"/>
    <w:rsid w:val="00621FAD"/>
    <w:rsid w:val="00622CEA"/>
    <w:rsid w:val="00626DD0"/>
    <w:rsid w:val="0062718F"/>
    <w:rsid w:val="00632F62"/>
    <w:rsid w:val="00633530"/>
    <w:rsid w:val="00642CCF"/>
    <w:rsid w:val="0064721B"/>
    <w:rsid w:val="00651332"/>
    <w:rsid w:val="0065140A"/>
    <w:rsid w:val="00651FF4"/>
    <w:rsid w:val="00652E62"/>
    <w:rsid w:val="00653749"/>
    <w:rsid w:val="00657293"/>
    <w:rsid w:val="00657E90"/>
    <w:rsid w:val="00657F5E"/>
    <w:rsid w:val="00665037"/>
    <w:rsid w:val="006656EC"/>
    <w:rsid w:val="006675B6"/>
    <w:rsid w:val="00671265"/>
    <w:rsid w:val="006773D3"/>
    <w:rsid w:val="00677B1A"/>
    <w:rsid w:val="00677E82"/>
    <w:rsid w:val="0068093C"/>
    <w:rsid w:val="0068266C"/>
    <w:rsid w:val="00683B2C"/>
    <w:rsid w:val="0068424D"/>
    <w:rsid w:val="006905C1"/>
    <w:rsid w:val="00694730"/>
    <w:rsid w:val="00697F95"/>
    <w:rsid w:val="006A3E3C"/>
    <w:rsid w:val="006B5B11"/>
    <w:rsid w:val="006C0E67"/>
    <w:rsid w:val="006C211B"/>
    <w:rsid w:val="006D5C5C"/>
    <w:rsid w:val="006E13C4"/>
    <w:rsid w:val="006E174E"/>
    <w:rsid w:val="006E2A43"/>
    <w:rsid w:val="006E34F0"/>
    <w:rsid w:val="006E66A5"/>
    <w:rsid w:val="006E7628"/>
    <w:rsid w:val="006F46AA"/>
    <w:rsid w:val="006F7A26"/>
    <w:rsid w:val="00706339"/>
    <w:rsid w:val="00706827"/>
    <w:rsid w:val="007075B1"/>
    <w:rsid w:val="00711934"/>
    <w:rsid w:val="0071222C"/>
    <w:rsid w:val="007132F4"/>
    <w:rsid w:val="00714C0C"/>
    <w:rsid w:val="00721AF7"/>
    <w:rsid w:val="00723269"/>
    <w:rsid w:val="00723FE2"/>
    <w:rsid w:val="00733A32"/>
    <w:rsid w:val="00734AEC"/>
    <w:rsid w:val="00737505"/>
    <w:rsid w:val="00743699"/>
    <w:rsid w:val="00743AFF"/>
    <w:rsid w:val="00745DD8"/>
    <w:rsid w:val="0075360A"/>
    <w:rsid w:val="00753CE2"/>
    <w:rsid w:val="007541C2"/>
    <w:rsid w:val="00756383"/>
    <w:rsid w:val="00761E5F"/>
    <w:rsid w:val="00764095"/>
    <w:rsid w:val="00766691"/>
    <w:rsid w:val="00766744"/>
    <w:rsid w:val="007726C0"/>
    <w:rsid w:val="00775FE1"/>
    <w:rsid w:val="00780F0D"/>
    <w:rsid w:val="00786632"/>
    <w:rsid w:val="00791DCB"/>
    <w:rsid w:val="007954D4"/>
    <w:rsid w:val="007A21EB"/>
    <w:rsid w:val="007A2A9D"/>
    <w:rsid w:val="007A3DF5"/>
    <w:rsid w:val="007B10E5"/>
    <w:rsid w:val="007B2D80"/>
    <w:rsid w:val="007B7424"/>
    <w:rsid w:val="007C0929"/>
    <w:rsid w:val="007C67F7"/>
    <w:rsid w:val="007D1AFD"/>
    <w:rsid w:val="007D2545"/>
    <w:rsid w:val="007D2EB4"/>
    <w:rsid w:val="007D35A0"/>
    <w:rsid w:val="007D5FB3"/>
    <w:rsid w:val="007E2924"/>
    <w:rsid w:val="007E2B36"/>
    <w:rsid w:val="007E6D84"/>
    <w:rsid w:val="007F1E0E"/>
    <w:rsid w:val="007F41E1"/>
    <w:rsid w:val="0080155D"/>
    <w:rsid w:val="00805423"/>
    <w:rsid w:val="00811D6E"/>
    <w:rsid w:val="00811DA9"/>
    <w:rsid w:val="00813B68"/>
    <w:rsid w:val="00815626"/>
    <w:rsid w:val="0082120E"/>
    <w:rsid w:val="0082691A"/>
    <w:rsid w:val="00826AE6"/>
    <w:rsid w:val="0083093C"/>
    <w:rsid w:val="00832FDC"/>
    <w:rsid w:val="008357A5"/>
    <w:rsid w:val="008368B8"/>
    <w:rsid w:val="00840344"/>
    <w:rsid w:val="00841334"/>
    <w:rsid w:val="00850A6F"/>
    <w:rsid w:val="008513CF"/>
    <w:rsid w:val="0085368E"/>
    <w:rsid w:val="00853B5A"/>
    <w:rsid w:val="00865D23"/>
    <w:rsid w:val="008663BA"/>
    <w:rsid w:val="00867545"/>
    <w:rsid w:val="00867F52"/>
    <w:rsid w:val="008714D5"/>
    <w:rsid w:val="0087320C"/>
    <w:rsid w:val="008821D0"/>
    <w:rsid w:val="00882BDB"/>
    <w:rsid w:val="00884FF4"/>
    <w:rsid w:val="00891F47"/>
    <w:rsid w:val="0089367E"/>
    <w:rsid w:val="00893D4B"/>
    <w:rsid w:val="00894648"/>
    <w:rsid w:val="008969F1"/>
    <w:rsid w:val="008A0AA6"/>
    <w:rsid w:val="008A18B1"/>
    <w:rsid w:val="008A21DA"/>
    <w:rsid w:val="008B3218"/>
    <w:rsid w:val="008B7B85"/>
    <w:rsid w:val="008C067E"/>
    <w:rsid w:val="008C27C8"/>
    <w:rsid w:val="008C4A4B"/>
    <w:rsid w:val="008C7323"/>
    <w:rsid w:val="008D0933"/>
    <w:rsid w:val="008D3E57"/>
    <w:rsid w:val="008D3F69"/>
    <w:rsid w:val="008E0199"/>
    <w:rsid w:val="008E1245"/>
    <w:rsid w:val="008E1D05"/>
    <w:rsid w:val="008E1F83"/>
    <w:rsid w:val="008E286A"/>
    <w:rsid w:val="008E611A"/>
    <w:rsid w:val="008E6DC1"/>
    <w:rsid w:val="008E73A4"/>
    <w:rsid w:val="008F184E"/>
    <w:rsid w:val="008F2FD0"/>
    <w:rsid w:val="008F4EDC"/>
    <w:rsid w:val="008F53D7"/>
    <w:rsid w:val="008F6CB2"/>
    <w:rsid w:val="009134C2"/>
    <w:rsid w:val="00915BDD"/>
    <w:rsid w:val="00917FCB"/>
    <w:rsid w:val="00924152"/>
    <w:rsid w:val="00927684"/>
    <w:rsid w:val="009276D2"/>
    <w:rsid w:val="00932C2D"/>
    <w:rsid w:val="00934B7A"/>
    <w:rsid w:val="00944F74"/>
    <w:rsid w:val="00945F80"/>
    <w:rsid w:val="009508C8"/>
    <w:rsid w:val="00951245"/>
    <w:rsid w:val="00954F9A"/>
    <w:rsid w:val="00955357"/>
    <w:rsid w:val="0096282F"/>
    <w:rsid w:val="009651BD"/>
    <w:rsid w:val="0096703F"/>
    <w:rsid w:val="00976FF5"/>
    <w:rsid w:val="00977D3E"/>
    <w:rsid w:val="0098039F"/>
    <w:rsid w:val="00980F45"/>
    <w:rsid w:val="00990732"/>
    <w:rsid w:val="00996ABB"/>
    <w:rsid w:val="009977BF"/>
    <w:rsid w:val="009A1098"/>
    <w:rsid w:val="009A3E27"/>
    <w:rsid w:val="009A4ABA"/>
    <w:rsid w:val="009A6053"/>
    <w:rsid w:val="009C1D25"/>
    <w:rsid w:val="009C7891"/>
    <w:rsid w:val="009D02D0"/>
    <w:rsid w:val="009D4797"/>
    <w:rsid w:val="009E049D"/>
    <w:rsid w:val="009E0E2A"/>
    <w:rsid w:val="009E1AAB"/>
    <w:rsid w:val="009E1DB9"/>
    <w:rsid w:val="009E1E14"/>
    <w:rsid w:val="009E53C7"/>
    <w:rsid w:val="009E71ED"/>
    <w:rsid w:val="00A04985"/>
    <w:rsid w:val="00A04D79"/>
    <w:rsid w:val="00A04EAF"/>
    <w:rsid w:val="00A06DDF"/>
    <w:rsid w:val="00A110E2"/>
    <w:rsid w:val="00A1174F"/>
    <w:rsid w:val="00A16DCD"/>
    <w:rsid w:val="00A23101"/>
    <w:rsid w:val="00A2348A"/>
    <w:rsid w:val="00A259E5"/>
    <w:rsid w:val="00A26B61"/>
    <w:rsid w:val="00A26B87"/>
    <w:rsid w:val="00A271D5"/>
    <w:rsid w:val="00A2735B"/>
    <w:rsid w:val="00A330C0"/>
    <w:rsid w:val="00A34FB1"/>
    <w:rsid w:val="00A35633"/>
    <w:rsid w:val="00A3782C"/>
    <w:rsid w:val="00A443E9"/>
    <w:rsid w:val="00A476D6"/>
    <w:rsid w:val="00A51C83"/>
    <w:rsid w:val="00A6184C"/>
    <w:rsid w:val="00A62A35"/>
    <w:rsid w:val="00A65187"/>
    <w:rsid w:val="00A70B29"/>
    <w:rsid w:val="00A71FD2"/>
    <w:rsid w:val="00A736F3"/>
    <w:rsid w:val="00A83C6D"/>
    <w:rsid w:val="00A9011A"/>
    <w:rsid w:val="00A90914"/>
    <w:rsid w:val="00A911C4"/>
    <w:rsid w:val="00A9571C"/>
    <w:rsid w:val="00A95903"/>
    <w:rsid w:val="00A96A75"/>
    <w:rsid w:val="00A96DBE"/>
    <w:rsid w:val="00AA0784"/>
    <w:rsid w:val="00AA4B92"/>
    <w:rsid w:val="00AA5B7D"/>
    <w:rsid w:val="00AA6E6C"/>
    <w:rsid w:val="00AB0B37"/>
    <w:rsid w:val="00AB431B"/>
    <w:rsid w:val="00AB5AE8"/>
    <w:rsid w:val="00AC0EF7"/>
    <w:rsid w:val="00AC6711"/>
    <w:rsid w:val="00AD0C17"/>
    <w:rsid w:val="00AD12F8"/>
    <w:rsid w:val="00AD2DF9"/>
    <w:rsid w:val="00AD5DE8"/>
    <w:rsid w:val="00AD6F07"/>
    <w:rsid w:val="00AE01F2"/>
    <w:rsid w:val="00AE2EBA"/>
    <w:rsid w:val="00AE5AA1"/>
    <w:rsid w:val="00AE7634"/>
    <w:rsid w:val="00AF593A"/>
    <w:rsid w:val="00B068DF"/>
    <w:rsid w:val="00B07B4E"/>
    <w:rsid w:val="00B07B8A"/>
    <w:rsid w:val="00B07FF8"/>
    <w:rsid w:val="00B10052"/>
    <w:rsid w:val="00B11DCA"/>
    <w:rsid w:val="00B12CBE"/>
    <w:rsid w:val="00B15B62"/>
    <w:rsid w:val="00B205A9"/>
    <w:rsid w:val="00B20CE2"/>
    <w:rsid w:val="00B227B5"/>
    <w:rsid w:val="00B234E2"/>
    <w:rsid w:val="00B264DE"/>
    <w:rsid w:val="00B3011E"/>
    <w:rsid w:val="00B33F7D"/>
    <w:rsid w:val="00B400DC"/>
    <w:rsid w:val="00B438CB"/>
    <w:rsid w:val="00B44238"/>
    <w:rsid w:val="00B50017"/>
    <w:rsid w:val="00B50942"/>
    <w:rsid w:val="00B5317D"/>
    <w:rsid w:val="00B53799"/>
    <w:rsid w:val="00B5760D"/>
    <w:rsid w:val="00B6014E"/>
    <w:rsid w:val="00B61010"/>
    <w:rsid w:val="00B611B6"/>
    <w:rsid w:val="00B64862"/>
    <w:rsid w:val="00B662FE"/>
    <w:rsid w:val="00B7289E"/>
    <w:rsid w:val="00B76FCD"/>
    <w:rsid w:val="00B80690"/>
    <w:rsid w:val="00B83533"/>
    <w:rsid w:val="00B83AD3"/>
    <w:rsid w:val="00B85ED3"/>
    <w:rsid w:val="00B85EEF"/>
    <w:rsid w:val="00B96545"/>
    <w:rsid w:val="00B966B9"/>
    <w:rsid w:val="00B96D1F"/>
    <w:rsid w:val="00BB6201"/>
    <w:rsid w:val="00BB65E1"/>
    <w:rsid w:val="00BC1D36"/>
    <w:rsid w:val="00BD1A29"/>
    <w:rsid w:val="00BD544E"/>
    <w:rsid w:val="00BD6E39"/>
    <w:rsid w:val="00BD754F"/>
    <w:rsid w:val="00BF2F1E"/>
    <w:rsid w:val="00BF2F71"/>
    <w:rsid w:val="00BF697A"/>
    <w:rsid w:val="00BF6A0A"/>
    <w:rsid w:val="00BF6C2C"/>
    <w:rsid w:val="00BF6FE9"/>
    <w:rsid w:val="00C026F1"/>
    <w:rsid w:val="00C027A1"/>
    <w:rsid w:val="00C051F2"/>
    <w:rsid w:val="00C108C2"/>
    <w:rsid w:val="00C10A96"/>
    <w:rsid w:val="00C13555"/>
    <w:rsid w:val="00C1473A"/>
    <w:rsid w:val="00C17F06"/>
    <w:rsid w:val="00C20935"/>
    <w:rsid w:val="00C22B7C"/>
    <w:rsid w:val="00C26A98"/>
    <w:rsid w:val="00C27A40"/>
    <w:rsid w:val="00C30251"/>
    <w:rsid w:val="00C304A8"/>
    <w:rsid w:val="00C35C44"/>
    <w:rsid w:val="00C36A24"/>
    <w:rsid w:val="00C417D7"/>
    <w:rsid w:val="00C422FB"/>
    <w:rsid w:val="00C45D3D"/>
    <w:rsid w:val="00C46B37"/>
    <w:rsid w:val="00C56DED"/>
    <w:rsid w:val="00C63B51"/>
    <w:rsid w:val="00C674C4"/>
    <w:rsid w:val="00C67823"/>
    <w:rsid w:val="00C67A0B"/>
    <w:rsid w:val="00C710BB"/>
    <w:rsid w:val="00C72D96"/>
    <w:rsid w:val="00C76487"/>
    <w:rsid w:val="00C8012F"/>
    <w:rsid w:val="00C828E8"/>
    <w:rsid w:val="00C87926"/>
    <w:rsid w:val="00CA1CCD"/>
    <w:rsid w:val="00CA3AD8"/>
    <w:rsid w:val="00CA6FF4"/>
    <w:rsid w:val="00CB174B"/>
    <w:rsid w:val="00CB548A"/>
    <w:rsid w:val="00CC62DA"/>
    <w:rsid w:val="00CF2171"/>
    <w:rsid w:val="00CF4D7B"/>
    <w:rsid w:val="00CF72CC"/>
    <w:rsid w:val="00D03BA8"/>
    <w:rsid w:val="00D04EEA"/>
    <w:rsid w:val="00D0674F"/>
    <w:rsid w:val="00D13A72"/>
    <w:rsid w:val="00D14F42"/>
    <w:rsid w:val="00D20224"/>
    <w:rsid w:val="00D27622"/>
    <w:rsid w:val="00D30F3E"/>
    <w:rsid w:val="00D31EC4"/>
    <w:rsid w:val="00D402F4"/>
    <w:rsid w:val="00D403F5"/>
    <w:rsid w:val="00D4733D"/>
    <w:rsid w:val="00D50BDD"/>
    <w:rsid w:val="00D5195B"/>
    <w:rsid w:val="00D51CE3"/>
    <w:rsid w:val="00D53541"/>
    <w:rsid w:val="00D539B1"/>
    <w:rsid w:val="00D57C42"/>
    <w:rsid w:val="00D61C7B"/>
    <w:rsid w:val="00D622B3"/>
    <w:rsid w:val="00D62F73"/>
    <w:rsid w:val="00D70B44"/>
    <w:rsid w:val="00D7172B"/>
    <w:rsid w:val="00D7519F"/>
    <w:rsid w:val="00D75F54"/>
    <w:rsid w:val="00D86C1D"/>
    <w:rsid w:val="00D8721D"/>
    <w:rsid w:val="00D94079"/>
    <w:rsid w:val="00D94D74"/>
    <w:rsid w:val="00D96C1E"/>
    <w:rsid w:val="00DA66E7"/>
    <w:rsid w:val="00DA724A"/>
    <w:rsid w:val="00DA77F8"/>
    <w:rsid w:val="00DB5514"/>
    <w:rsid w:val="00DC0E4F"/>
    <w:rsid w:val="00DD03E1"/>
    <w:rsid w:val="00DD3073"/>
    <w:rsid w:val="00DF489D"/>
    <w:rsid w:val="00DF4CE3"/>
    <w:rsid w:val="00E01EB0"/>
    <w:rsid w:val="00E1000B"/>
    <w:rsid w:val="00E101EF"/>
    <w:rsid w:val="00E1061B"/>
    <w:rsid w:val="00E12285"/>
    <w:rsid w:val="00E1427B"/>
    <w:rsid w:val="00E14AFC"/>
    <w:rsid w:val="00E15254"/>
    <w:rsid w:val="00E1558E"/>
    <w:rsid w:val="00E16B50"/>
    <w:rsid w:val="00E22CF3"/>
    <w:rsid w:val="00E23A49"/>
    <w:rsid w:val="00E23AE4"/>
    <w:rsid w:val="00E257C6"/>
    <w:rsid w:val="00E2684C"/>
    <w:rsid w:val="00E273FD"/>
    <w:rsid w:val="00E5534B"/>
    <w:rsid w:val="00E57B38"/>
    <w:rsid w:val="00E61688"/>
    <w:rsid w:val="00E629B1"/>
    <w:rsid w:val="00E64814"/>
    <w:rsid w:val="00E703A8"/>
    <w:rsid w:val="00E76FF7"/>
    <w:rsid w:val="00E828E6"/>
    <w:rsid w:val="00E8295B"/>
    <w:rsid w:val="00E861BD"/>
    <w:rsid w:val="00E87731"/>
    <w:rsid w:val="00E92B40"/>
    <w:rsid w:val="00E93FA5"/>
    <w:rsid w:val="00EA095E"/>
    <w:rsid w:val="00EA6438"/>
    <w:rsid w:val="00EB1DBE"/>
    <w:rsid w:val="00EB7B2B"/>
    <w:rsid w:val="00EC01E3"/>
    <w:rsid w:val="00EC0AC1"/>
    <w:rsid w:val="00ED3172"/>
    <w:rsid w:val="00EE0360"/>
    <w:rsid w:val="00EE499E"/>
    <w:rsid w:val="00EF0C61"/>
    <w:rsid w:val="00EF324B"/>
    <w:rsid w:val="00EF4B8E"/>
    <w:rsid w:val="00EF50A8"/>
    <w:rsid w:val="00F01DF8"/>
    <w:rsid w:val="00F0206F"/>
    <w:rsid w:val="00F04BD6"/>
    <w:rsid w:val="00F06C92"/>
    <w:rsid w:val="00F112B5"/>
    <w:rsid w:val="00F11ED3"/>
    <w:rsid w:val="00F13B2B"/>
    <w:rsid w:val="00F14848"/>
    <w:rsid w:val="00F16898"/>
    <w:rsid w:val="00F17F69"/>
    <w:rsid w:val="00F228EF"/>
    <w:rsid w:val="00F2422C"/>
    <w:rsid w:val="00F27EF3"/>
    <w:rsid w:val="00F32FC5"/>
    <w:rsid w:val="00F3434A"/>
    <w:rsid w:val="00F403EA"/>
    <w:rsid w:val="00F4049A"/>
    <w:rsid w:val="00F50E05"/>
    <w:rsid w:val="00F50E7F"/>
    <w:rsid w:val="00F52FE5"/>
    <w:rsid w:val="00F53BC8"/>
    <w:rsid w:val="00F55CB7"/>
    <w:rsid w:val="00F6051A"/>
    <w:rsid w:val="00F64CD2"/>
    <w:rsid w:val="00F70492"/>
    <w:rsid w:val="00F71E50"/>
    <w:rsid w:val="00F72A9F"/>
    <w:rsid w:val="00F73C91"/>
    <w:rsid w:val="00F75CB9"/>
    <w:rsid w:val="00F8190A"/>
    <w:rsid w:val="00F82297"/>
    <w:rsid w:val="00F85E66"/>
    <w:rsid w:val="00F87DED"/>
    <w:rsid w:val="00F9040C"/>
    <w:rsid w:val="00F90630"/>
    <w:rsid w:val="00F9110B"/>
    <w:rsid w:val="00F95AD8"/>
    <w:rsid w:val="00FA20FA"/>
    <w:rsid w:val="00FA35A2"/>
    <w:rsid w:val="00FA5548"/>
    <w:rsid w:val="00FA66DA"/>
    <w:rsid w:val="00FB143D"/>
    <w:rsid w:val="00FB1787"/>
    <w:rsid w:val="00FC1FEC"/>
    <w:rsid w:val="00FC4821"/>
    <w:rsid w:val="00FC4951"/>
    <w:rsid w:val="00FD44CC"/>
    <w:rsid w:val="00FD4644"/>
    <w:rsid w:val="00FE2430"/>
    <w:rsid w:val="00FE3176"/>
    <w:rsid w:val="00FE78FC"/>
    <w:rsid w:val="00FF104D"/>
    <w:rsid w:val="00FF3946"/>
    <w:rsid w:val="00FF4A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8FD39"/>
  <w15:docId w15:val="{A7802A1A-7DCD-4C76-AF33-1BBB9099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30"/>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30"/>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30"/>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30"/>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30"/>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30"/>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30"/>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30"/>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30"/>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6FF5"/>
    <w:pPr>
      <w:tabs>
        <w:tab w:val="center" w:pos="4680"/>
        <w:tab w:val="right" w:pos="9360"/>
      </w:tabs>
    </w:pPr>
  </w:style>
  <w:style w:type="character" w:customStyle="1" w:styleId="HeaderChar">
    <w:name w:val="Header Char"/>
    <w:basedOn w:val="DefaultParagraphFont"/>
    <w:link w:val="Header"/>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27"/>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semiHidden/>
    <w:unhideWhenUsed/>
    <w:rsid w:val="00D94079"/>
    <w:pPr>
      <w:spacing w:after="120"/>
    </w:pPr>
  </w:style>
  <w:style w:type="character" w:customStyle="1" w:styleId="BodyTextChar">
    <w:name w:val="Body Text Char"/>
    <w:basedOn w:val="DefaultParagraphFont"/>
    <w:link w:val="BodyText"/>
    <w:uiPriority w:val="99"/>
    <w:semiHidden/>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31"/>
      </w:numPr>
      <w:spacing w:after="240"/>
      <w:jc w:val="center"/>
      <w:outlineLvl w:val="0"/>
    </w:pPr>
    <w:rPr>
      <w:rFonts w:eastAsia="Times New Roman"/>
      <w:b/>
      <w:caps/>
      <w:szCs w:val="20"/>
    </w:rPr>
  </w:style>
  <w:style w:type="paragraph" w:customStyle="1" w:styleId="ArticleL2">
    <w:name w:val="Article_L2"/>
    <w:basedOn w:val="ArticleL1"/>
    <w:next w:val="BodyText"/>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rsid w:val="007C67F7"/>
    <w:pPr>
      <w:numPr>
        <w:ilvl w:val="3"/>
      </w:numPr>
      <w:tabs>
        <w:tab w:val="clear" w:pos="2880"/>
      </w:tabs>
      <w:ind w:left="2880" w:hanging="360"/>
      <w:outlineLvl w:val="3"/>
    </w:pPr>
  </w:style>
  <w:style w:type="paragraph" w:customStyle="1" w:styleId="ArticleL5">
    <w:name w:val="Article_L5"/>
    <w:basedOn w:val="ArticleL4"/>
    <w:next w:val="BodyText"/>
    <w:rsid w:val="007C67F7"/>
    <w:pPr>
      <w:numPr>
        <w:ilvl w:val="4"/>
      </w:numPr>
      <w:tabs>
        <w:tab w:val="clear" w:pos="3600"/>
      </w:tabs>
      <w:ind w:left="3600" w:hanging="360"/>
      <w:outlineLvl w:val="4"/>
    </w:pPr>
  </w:style>
  <w:style w:type="paragraph" w:customStyle="1" w:styleId="ArticleL6">
    <w:name w:val="Article_L6"/>
    <w:basedOn w:val="ArticleL5"/>
    <w:next w:val="BodyText"/>
    <w:rsid w:val="007C67F7"/>
    <w:pPr>
      <w:numPr>
        <w:ilvl w:val="5"/>
      </w:numPr>
      <w:tabs>
        <w:tab w:val="clear" w:pos="4320"/>
      </w:tabs>
      <w:ind w:left="4320" w:hanging="180"/>
      <w:jc w:val="left"/>
      <w:outlineLvl w:val="5"/>
    </w:pPr>
  </w:style>
  <w:style w:type="paragraph" w:customStyle="1" w:styleId="ArticleL7">
    <w:name w:val="Article_L7"/>
    <w:basedOn w:val="ArticleL6"/>
    <w:next w:val="BodyText"/>
    <w:rsid w:val="007C67F7"/>
    <w:pPr>
      <w:numPr>
        <w:ilvl w:val="6"/>
      </w:numPr>
      <w:tabs>
        <w:tab w:val="clear" w:pos="5040"/>
      </w:tabs>
      <w:ind w:left="5040" w:hanging="360"/>
      <w:outlineLvl w:val="6"/>
    </w:pPr>
  </w:style>
  <w:style w:type="paragraph" w:customStyle="1" w:styleId="ArticleL8">
    <w:name w:val="Article_L8"/>
    <w:basedOn w:val="ArticleL7"/>
    <w:next w:val="BodyText"/>
    <w:rsid w:val="007C67F7"/>
    <w:pPr>
      <w:numPr>
        <w:ilvl w:val="7"/>
      </w:numPr>
      <w:tabs>
        <w:tab w:val="clear" w:pos="5760"/>
      </w:tabs>
      <w:ind w:left="5760" w:hanging="360"/>
      <w:outlineLvl w:val="7"/>
    </w:pPr>
  </w:style>
  <w:style w:type="paragraph" w:customStyle="1" w:styleId="ArticleL9">
    <w:name w:val="Article_L9"/>
    <w:basedOn w:val="ArticleL8"/>
    <w:next w:val="BodyText"/>
    <w:rsid w:val="007C67F7"/>
    <w:pPr>
      <w:numPr>
        <w:ilvl w:val="8"/>
      </w:numPr>
      <w:tabs>
        <w:tab w:val="clear" w:pos="6480"/>
      </w:tabs>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iPriority w:val="99"/>
    <w:semiHidden/>
    <w:unhideWhenUsed/>
    <w:rsid w:val="00C87926"/>
    <w:rPr>
      <w:rFonts w:eastAsiaTheme="minorHAnsi"/>
      <w:sz w:val="20"/>
      <w:szCs w:val="20"/>
    </w:rPr>
  </w:style>
  <w:style w:type="character" w:customStyle="1" w:styleId="FootnoteTextChar">
    <w:name w:val="Footnote Text Char"/>
    <w:basedOn w:val="DefaultParagraphFont"/>
    <w:link w:val="FootnoteText"/>
    <w:uiPriority w:val="99"/>
    <w:semiHidden/>
    <w:rsid w:val="00C87926"/>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C87926"/>
    <w:rPr>
      <w:vertAlign w:val="superscript"/>
    </w:rPr>
  </w:style>
  <w:style w:type="character" w:styleId="PageNumber">
    <w:name w:val="page number"/>
    <w:basedOn w:val="DefaultParagraphFont"/>
    <w:uiPriority w:val="99"/>
    <w:semiHidden/>
    <w:unhideWhenUsed/>
    <w:rsid w:val="00C2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0276E0794E45AFAFCEFC03AB9706" ma:contentTypeVersion="4" ma:contentTypeDescription="Create a new document." ma:contentTypeScope="" ma:versionID="77d23267f4911038a91869fad463f4f7">
  <xsd:schema xmlns:xsd="http://www.w3.org/2001/XMLSchema" xmlns:xs="http://www.w3.org/2001/XMLSchema" xmlns:p="http://schemas.microsoft.com/office/2006/metadata/properties" xmlns:ns2="d51967b0-a657-4a22-a7fa-f39df2d59f8f" xmlns:ns3="6e22f28a-6e3d-4b07-8927-7895cddf8c93" targetNamespace="http://schemas.microsoft.com/office/2006/metadata/properties" ma:root="true" ma:fieldsID="96d0fb2107c2e16d2dea2dabbe426f26" ns2:_="" ns3:_="">
    <xsd:import namespace="d51967b0-a657-4a22-a7fa-f39df2d59f8f"/>
    <xsd:import namespace="6e22f28a-6e3d-4b07-8927-7895cddf8c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67b0-a657-4a22-a7fa-f39df2d59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2f28a-6e3d-4b07-8927-7895cddf8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91C7-177E-4170-B5F8-15AB4BFF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67b0-a657-4a22-a7fa-f39df2d59f8f"/>
    <ds:schemaRef ds:uri="6e22f28a-6e3d-4b07-8927-7895cddf8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4.xml><?xml version="1.0" encoding="utf-8"?>
<ds:datastoreItem xmlns:ds="http://schemas.openxmlformats.org/officeDocument/2006/customXml" ds:itemID="{D8AAFE08-127F-4462-A6C8-C23C253B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3931</Words>
  <Characters>22410</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3Degrees, Inc.</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Nelson</dc:creator>
  <cp:lastModifiedBy>David Potovsky</cp:lastModifiedBy>
  <cp:revision>4</cp:revision>
  <cp:lastPrinted>2019-12-11T02:02:00Z</cp:lastPrinted>
  <dcterms:created xsi:type="dcterms:W3CDTF">2020-01-24T01:02:00Z</dcterms:created>
  <dcterms:modified xsi:type="dcterms:W3CDTF">2020-01-29T21:55:00Z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0x010100C72C0276E0794E45AFAFCEFC03AB9706</vt:lpwstr>
  </property>
  <property fmtid="{D5CDD505-2E9C-101B-9397-08002B2CF9AE}" pid="4" name="NSCPROP_SA">
    <vt:lpwstr>C:\Users\Admin\Desktop\CALIFORNIA\07.MBCP,SVCE 입찰\SVCEMBCP_JointRFO_TermSheet_Samsung Glover.docx</vt:lpwstr>
  </property>
</Properties>
</file>