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521F4" w14:textId="5167FCB3" w:rsidR="009A3E27" w:rsidRPr="00734AEC" w:rsidRDefault="00734AEC" w:rsidP="005D2A99">
      <w:pPr>
        <w:jc w:val="center"/>
        <w:rPr>
          <w:b/>
          <w:bCs/>
        </w:rPr>
      </w:pPr>
      <w:r w:rsidRPr="00734AEC">
        <w:rPr>
          <w:b/>
          <w:bCs/>
        </w:rPr>
        <w:t>MCE Open Season</w:t>
      </w:r>
      <w:r w:rsidR="001F3217">
        <w:rPr>
          <w:b/>
          <w:bCs/>
        </w:rPr>
        <w:t xml:space="preserve"> 2020</w:t>
      </w:r>
    </w:p>
    <w:p w14:paraId="46A29066" w14:textId="77777777" w:rsidR="009A3E27" w:rsidRPr="00734AEC" w:rsidRDefault="009A3E27" w:rsidP="005D2A99">
      <w:pPr>
        <w:jc w:val="center"/>
        <w:rPr>
          <w:b/>
          <w:bCs/>
        </w:rPr>
      </w:pPr>
    </w:p>
    <w:p w14:paraId="46A9233D" w14:textId="2A130EED" w:rsidR="00976FF5" w:rsidRPr="00734AEC" w:rsidRDefault="009B14C8" w:rsidP="00F3434A">
      <w:pPr>
        <w:jc w:val="center"/>
        <w:rPr>
          <w:b/>
          <w:bCs/>
        </w:rPr>
      </w:pPr>
      <w:r>
        <w:rPr>
          <w:b/>
          <w:bCs/>
        </w:rPr>
        <w:t>POWER PURCHASE</w:t>
      </w:r>
      <w:r w:rsidR="00734AEC" w:rsidRPr="00734AEC">
        <w:rPr>
          <w:b/>
          <w:bCs/>
        </w:rPr>
        <w:t xml:space="preserve"> AGREEMENT TERM SHEET</w:t>
      </w:r>
    </w:p>
    <w:p w14:paraId="61B9BF6A" w14:textId="77777777" w:rsidR="00F3434A" w:rsidRPr="006B5B11" w:rsidRDefault="00F3434A" w:rsidP="00F3434A"/>
    <w:p w14:paraId="2DF120B2" w14:textId="6A341979" w:rsidR="00005184" w:rsidRPr="006B5B11" w:rsidRDefault="00C026F1" w:rsidP="00005184">
      <w:pPr>
        <w:jc w:val="both"/>
        <w:rPr>
          <w:iCs/>
        </w:rPr>
      </w:pPr>
      <w:r w:rsidRPr="006B5B11">
        <w:rPr>
          <w:iCs/>
        </w:rPr>
        <w:t>This term sheet (“</w:t>
      </w:r>
      <w:r w:rsidRPr="006B5B11">
        <w:rPr>
          <w:b/>
          <w:bCs/>
          <w:iCs/>
          <w:u w:val="single"/>
        </w:rPr>
        <w:t>Term Sheet</w:t>
      </w:r>
      <w:r w:rsidRPr="006B5B11">
        <w:rPr>
          <w:iCs/>
        </w:rPr>
        <w:t xml:space="preserve">”) </w:t>
      </w:r>
      <w:r w:rsidR="00EA095E" w:rsidRPr="006B5B11">
        <w:rPr>
          <w:iCs/>
        </w:rPr>
        <w:t xml:space="preserve">is entered into between </w:t>
      </w:r>
      <w:r w:rsidR="00EA095E" w:rsidRPr="006B5B11">
        <w:t>Marin Clean Energy, a California joint powers authority (“</w:t>
      </w:r>
      <w:r w:rsidR="00EA095E" w:rsidRPr="006B5B11">
        <w:rPr>
          <w:b/>
          <w:bCs/>
          <w:u w:val="single"/>
        </w:rPr>
        <w:t>MCE</w:t>
      </w:r>
      <w:r w:rsidR="00EA095E" w:rsidRPr="006B5B11">
        <w:t>” or “</w:t>
      </w:r>
      <w:r w:rsidR="00EA095E" w:rsidRPr="006B5B11">
        <w:rPr>
          <w:b/>
          <w:bCs/>
          <w:u w:val="single"/>
        </w:rPr>
        <w:t>Buyer</w:t>
      </w:r>
      <w:r w:rsidR="00EA095E" w:rsidRPr="006B5B11">
        <w:t>”)</w:t>
      </w:r>
      <w:r w:rsidR="00697F95" w:rsidRPr="006B5B11">
        <w:t xml:space="preserve"> and </w:t>
      </w:r>
      <w:r w:rsidR="00697F95" w:rsidRPr="006B5B11">
        <w:rPr>
          <w:iCs/>
        </w:rPr>
        <w:t>[</w:t>
      </w:r>
      <w:r w:rsidR="00697F95" w:rsidRPr="006B5B11">
        <w:rPr>
          <w:i/>
          <w:highlight w:val="lightGray"/>
        </w:rPr>
        <w:t>INSERT SELLER NAME</w:t>
      </w:r>
      <w:r w:rsidR="00697F95" w:rsidRPr="006B5B11">
        <w:rPr>
          <w:iCs/>
        </w:rPr>
        <w:t xml:space="preserve">] </w:t>
      </w:r>
      <w:r w:rsidR="00697F95" w:rsidRPr="006B5B11">
        <w:rPr>
          <w:lang w:eastAsia="ko-KR"/>
        </w:rPr>
        <w:t>(“</w:t>
      </w:r>
      <w:r w:rsidR="00697F95" w:rsidRPr="006B5B11">
        <w:rPr>
          <w:b/>
          <w:bCs/>
          <w:u w:val="single"/>
          <w:lang w:eastAsia="ko-KR"/>
        </w:rPr>
        <w:t>Seller</w:t>
      </w:r>
      <w:r w:rsidR="00697F95" w:rsidRPr="006B5B11">
        <w:rPr>
          <w:lang w:eastAsia="ko-KR"/>
        </w:rPr>
        <w:t>”)</w:t>
      </w:r>
      <w:r w:rsidR="00EA095E" w:rsidRPr="006B5B11">
        <w:t>, as of [</w:t>
      </w:r>
      <w:r w:rsidR="00EB123B" w:rsidRPr="006B5B11">
        <w:rPr>
          <w:i/>
          <w:iCs/>
          <w:highlight w:val="lightGray"/>
        </w:rPr>
        <w:t>mm/dd/yyyy</w:t>
      </w:r>
      <w:r w:rsidR="00EA095E" w:rsidRPr="006B5B11">
        <w:t>] (the “</w:t>
      </w:r>
      <w:r w:rsidR="00EA095E" w:rsidRPr="006B5B11">
        <w:rPr>
          <w:b/>
          <w:bCs/>
          <w:u w:val="single"/>
        </w:rPr>
        <w:t>Effective Date</w:t>
      </w:r>
      <w:r w:rsidR="00EA095E" w:rsidRPr="006B5B11">
        <w:t xml:space="preserve">”).  </w:t>
      </w:r>
      <w:r w:rsidR="00697F95" w:rsidRPr="006B5B11">
        <w:t>Buyer and Seller are each a “</w:t>
      </w:r>
      <w:r w:rsidR="00697F95" w:rsidRPr="006B5B11">
        <w:rPr>
          <w:b/>
          <w:bCs/>
          <w:u w:val="single"/>
        </w:rPr>
        <w:t>Party</w:t>
      </w:r>
      <w:r w:rsidR="00697F95" w:rsidRPr="006B5B11">
        <w:t>” and, collectively, the “</w:t>
      </w:r>
      <w:r w:rsidR="00697F95" w:rsidRPr="006B5B11">
        <w:rPr>
          <w:b/>
          <w:bCs/>
          <w:u w:val="single"/>
        </w:rPr>
        <w:t>Parties</w:t>
      </w:r>
      <w:r w:rsidR="00697F95" w:rsidRPr="006B5B11">
        <w:t xml:space="preserve">.”  </w:t>
      </w:r>
      <w:r w:rsidR="00EA095E" w:rsidRPr="006B5B11">
        <w:t>This Term Sheet i</w:t>
      </w:r>
      <w:r w:rsidRPr="006B5B11">
        <w:rPr>
          <w:iCs/>
        </w:rPr>
        <w:t xml:space="preserve">ncludes the </w:t>
      </w:r>
      <w:r w:rsidRPr="006B5B11">
        <w:t xml:space="preserve">key commercial terms and conditions to be included in a proposed </w:t>
      </w:r>
      <w:r w:rsidR="009B14C8">
        <w:t>power purchase</w:t>
      </w:r>
      <w:r w:rsidRPr="006B5B11">
        <w:t xml:space="preserve"> agreement </w:t>
      </w:r>
      <w:r w:rsidRPr="006B5B11">
        <w:rPr>
          <w:iCs/>
        </w:rPr>
        <w:t>(the “</w:t>
      </w:r>
      <w:r w:rsidR="009B14C8">
        <w:rPr>
          <w:b/>
          <w:bCs/>
          <w:iCs/>
          <w:u w:val="single"/>
        </w:rPr>
        <w:t>PPA</w:t>
      </w:r>
      <w:r w:rsidRPr="006B5B11">
        <w:rPr>
          <w:iCs/>
        </w:rPr>
        <w:t xml:space="preserve">”) </w:t>
      </w:r>
      <w:r w:rsidRPr="006B5B11">
        <w:t xml:space="preserve">for </w:t>
      </w:r>
      <w:r w:rsidR="009B14C8">
        <w:t xml:space="preserve">renewable energy </w:t>
      </w:r>
      <w:r w:rsidRPr="006B5B11">
        <w:t>(</w:t>
      </w:r>
      <w:r w:rsidR="00A1174F" w:rsidRPr="006B5B11">
        <w:t xml:space="preserve">the </w:t>
      </w:r>
      <w:r w:rsidRPr="006B5B11">
        <w:t>“</w:t>
      </w:r>
      <w:r w:rsidRPr="006B5B11">
        <w:rPr>
          <w:b/>
          <w:bCs/>
          <w:u w:val="single"/>
        </w:rPr>
        <w:t>Proposed Transaction</w:t>
      </w:r>
      <w:r w:rsidRPr="006B5B11">
        <w:t xml:space="preserve">”) </w:t>
      </w:r>
      <w:r w:rsidRPr="006B5B11">
        <w:rPr>
          <w:iCs/>
        </w:rPr>
        <w:t xml:space="preserve">to be negotiated between Seller and Buyer </w:t>
      </w:r>
      <w:r w:rsidRPr="006B5B11">
        <w:t>in connection with the MCE Open Season</w:t>
      </w:r>
      <w:r w:rsidRPr="006B5B11">
        <w:rPr>
          <w:iCs/>
        </w:rPr>
        <w:t xml:space="preserve"> </w:t>
      </w:r>
      <w:r w:rsidR="001F3217">
        <w:rPr>
          <w:iCs/>
        </w:rPr>
        <w:t xml:space="preserve">2020 </w:t>
      </w:r>
      <w:r w:rsidRPr="006B5B11">
        <w:rPr>
          <w:iCs/>
        </w:rPr>
        <w:t>(“</w:t>
      </w:r>
      <w:r w:rsidR="00697F95" w:rsidRPr="006B5B11">
        <w:rPr>
          <w:b/>
          <w:bCs/>
          <w:iCs/>
          <w:u w:val="single"/>
        </w:rPr>
        <w:t>Open Season</w:t>
      </w:r>
      <w:r w:rsidRPr="006B5B11">
        <w:rPr>
          <w:iCs/>
        </w:rPr>
        <w:t xml:space="preserve">”).  </w:t>
      </w:r>
      <w:r w:rsidR="0075360A" w:rsidRPr="006B5B11">
        <w:t>Negotiation of the</w:t>
      </w:r>
      <w:r w:rsidR="00B20CE2" w:rsidRPr="006B5B11">
        <w:t xml:space="preserve"> </w:t>
      </w:r>
      <w:r w:rsidR="009B14C8">
        <w:t>PPA</w:t>
      </w:r>
      <w:r w:rsidR="0075360A" w:rsidRPr="006B5B11">
        <w:t xml:space="preserve"> is subject to</w:t>
      </w:r>
      <w:r w:rsidR="001558F3" w:rsidRPr="006B5B11">
        <w:t xml:space="preserve"> Seller’s selection for </w:t>
      </w:r>
      <w:r w:rsidR="00697F95" w:rsidRPr="006B5B11">
        <w:t>the Open Season s</w:t>
      </w:r>
      <w:r w:rsidR="001558F3" w:rsidRPr="006B5B11">
        <w:t xml:space="preserve">hortlist by Buyer, </w:t>
      </w:r>
      <w:r w:rsidR="0054674B" w:rsidRPr="006B5B11">
        <w:rPr>
          <w:iCs/>
        </w:rPr>
        <w:t xml:space="preserve">the terms and conditions of the </w:t>
      </w:r>
      <w:r w:rsidR="00697F95" w:rsidRPr="006B5B11">
        <w:rPr>
          <w:iCs/>
        </w:rPr>
        <w:t>Open Season</w:t>
      </w:r>
      <w:r w:rsidR="006C211B" w:rsidRPr="006B5B11">
        <w:rPr>
          <w:iCs/>
        </w:rPr>
        <w:t xml:space="preserve">, timely execution of the </w:t>
      </w:r>
      <w:r w:rsidR="0054674B" w:rsidRPr="006B5B11">
        <w:rPr>
          <w:iCs/>
        </w:rPr>
        <w:t xml:space="preserve">Exclusive Negotiating </w:t>
      </w:r>
      <w:r w:rsidR="00AF593A" w:rsidRPr="006B5B11">
        <w:rPr>
          <w:iCs/>
        </w:rPr>
        <w:t>A</w:t>
      </w:r>
      <w:r w:rsidR="0054674B" w:rsidRPr="006B5B11">
        <w:rPr>
          <w:iCs/>
        </w:rPr>
        <w:t>greement (as defined below)</w:t>
      </w:r>
      <w:r w:rsidR="006C211B" w:rsidRPr="006B5B11">
        <w:rPr>
          <w:iCs/>
        </w:rPr>
        <w:t xml:space="preserve"> and </w:t>
      </w:r>
      <w:r w:rsidR="00A1174F" w:rsidRPr="006B5B11">
        <w:rPr>
          <w:iCs/>
        </w:rPr>
        <w:t xml:space="preserve">delivery </w:t>
      </w:r>
      <w:r w:rsidR="006C211B" w:rsidRPr="006B5B11">
        <w:rPr>
          <w:iCs/>
        </w:rPr>
        <w:t>of the Shortlist Deposit</w:t>
      </w:r>
      <w:r w:rsidR="00A1174F" w:rsidRPr="006B5B11">
        <w:rPr>
          <w:iCs/>
        </w:rPr>
        <w:t xml:space="preserve"> </w:t>
      </w:r>
      <w:r w:rsidR="00697F95" w:rsidRPr="006B5B11">
        <w:rPr>
          <w:iCs/>
        </w:rPr>
        <w:t xml:space="preserve">(as defined below) </w:t>
      </w:r>
      <w:r w:rsidR="00A1174F" w:rsidRPr="006B5B11">
        <w:rPr>
          <w:iCs/>
        </w:rPr>
        <w:t>to Buyer</w:t>
      </w:r>
      <w:r w:rsidR="0054674B" w:rsidRPr="006B5B11">
        <w:rPr>
          <w:iCs/>
        </w:rPr>
        <w:t>.</w:t>
      </w:r>
      <w:r w:rsidR="00005184" w:rsidRPr="006B5B11">
        <w:rPr>
          <w:iCs/>
        </w:rPr>
        <w:t xml:space="preserve"> </w:t>
      </w:r>
      <w:r w:rsidR="005A3C26" w:rsidRPr="006B5B11">
        <w:rPr>
          <w:iCs/>
        </w:rPr>
        <w:t xml:space="preserve"> </w:t>
      </w:r>
      <w:r w:rsidR="00E5534B" w:rsidRPr="006B5B11">
        <w:rPr>
          <w:iCs/>
        </w:rPr>
        <w:t xml:space="preserve">Until a definitive agreement </w:t>
      </w:r>
      <w:r w:rsidR="00331144" w:rsidRPr="006B5B11">
        <w:rPr>
          <w:iCs/>
        </w:rPr>
        <w:t xml:space="preserve">is </w:t>
      </w:r>
      <w:r w:rsidR="00E5534B" w:rsidRPr="006B5B11">
        <w:rPr>
          <w:iCs/>
        </w:rPr>
        <w:t xml:space="preserve">approved by </w:t>
      </w:r>
      <w:r w:rsidR="00891F47" w:rsidRPr="006B5B11">
        <w:rPr>
          <w:iCs/>
        </w:rPr>
        <w:t>M</w:t>
      </w:r>
      <w:r w:rsidR="00A9011A" w:rsidRPr="006B5B11">
        <w:rPr>
          <w:iCs/>
        </w:rPr>
        <w:t>CE’s</w:t>
      </w:r>
      <w:r w:rsidR="008F4EDC" w:rsidRPr="006B5B11">
        <w:rPr>
          <w:iCs/>
        </w:rPr>
        <w:t xml:space="preserve"> </w:t>
      </w:r>
      <w:r w:rsidR="00E5534B" w:rsidRPr="006B5B11">
        <w:rPr>
          <w:iCs/>
        </w:rPr>
        <w:t xml:space="preserve">management and Board of Directors, and signed and delivered, no party shall have any legal obligations, expressed or implied, or arising in any other manner, </w:t>
      </w:r>
      <w:r w:rsidR="00697F95" w:rsidRPr="006B5B11">
        <w:rPr>
          <w:iCs/>
        </w:rPr>
        <w:t xml:space="preserve">to proceed with the Proposed Transaction or the </w:t>
      </w:r>
      <w:r w:rsidR="009B14C8">
        <w:rPr>
          <w:iCs/>
        </w:rPr>
        <w:t>PPA</w:t>
      </w:r>
      <w:r w:rsidR="00456957" w:rsidRPr="006B5B11">
        <w:rPr>
          <w:iCs/>
        </w:rPr>
        <w:t xml:space="preserve">. </w:t>
      </w:r>
      <w:r w:rsidR="000900E3" w:rsidRPr="006B5B11">
        <w:rPr>
          <w:iCs/>
        </w:rPr>
        <w:t xml:space="preserve"> </w:t>
      </w:r>
    </w:p>
    <w:p w14:paraId="3A1C893A" w14:textId="73C95561" w:rsidR="00697F95" w:rsidRPr="006B5B11" w:rsidRDefault="00697F95" w:rsidP="00005184">
      <w:pPr>
        <w:jc w:val="both"/>
        <w:rPr>
          <w:iCs/>
        </w:rPr>
      </w:pPr>
    </w:p>
    <w:p w14:paraId="0DDD5CE2" w14:textId="3B53D8F5" w:rsidR="00697F95" w:rsidRPr="006B5B11" w:rsidRDefault="00697F95" w:rsidP="00C26A98">
      <w:pPr>
        <w:tabs>
          <w:tab w:val="left" w:pos="720"/>
        </w:tabs>
        <w:jc w:val="both"/>
        <w:rPr>
          <w:iCs/>
        </w:rPr>
      </w:pPr>
      <w:r w:rsidRPr="006B5B11">
        <w:rPr>
          <w:b/>
          <w:bCs/>
          <w:lang w:eastAsia="ko-KR"/>
        </w:rPr>
        <w:t>1.</w:t>
      </w:r>
      <w:r w:rsidRPr="006B5B11">
        <w:rPr>
          <w:b/>
          <w:bCs/>
          <w:lang w:eastAsia="ko-KR"/>
        </w:rPr>
        <w:tab/>
      </w:r>
      <w:r w:rsidR="00EC0074">
        <w:rPr>
          <w:b/>
          <w:bCs/>
          <w:u w:val="single"/>
          <w:lang w:eastAsia="ko-KR"/>
        </w:rPr>
        <w:t>Power Purchase</w:t>
      </w:r>
      <w:r w:rsidRPr="006B5B11">
        <w:rPr>
          <w:b/>
          <w:bCs/>
          <w:u w:val="single"/>
          <w:lang w:eastAsia="ko-KR"/>
        </w:rPr>
        <w:t xml:space="preserve"> Agreement Terms and Conditions</w:t>
      </w:r>
    </w:p>
    <w:p w14:paraId="168028AE" w14:textId="77777777" w:rsidR="00367A2D" w:rsidRPr="006B5B11" w:rsidRDefault="00367A2D" w:rsidP="00F3434A"/>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55"/>
        <w:gridCol w:w="6295"/>
      </w:tblGrid>
      <w:tr w:rsidR="00F3434A" w:rsidRPr="006B5B11" w14:paraId="4C0D3CF0" w14:textId="77777777" w:rsidTr="0080155D">
        <w:tc>
          <w:tcPr>
            <w:tcW w:w="3055" w:type="dxa"/>
          </w:tcPr>
          <w:p w14:paraId="67C82573" w14:textId="3C3C98D4" w:rsidR="00F3434A" w:rsidRPr="006B5B11" w:rsidRDefault="002B043C" w:rsidP="0060307C">
            <w:pPr>
              <w:spacing w:before="120"/>
              <w:rPr>
                <w:b/>
              </w:rPr>
            </w:pPr>
            <w:r>
              <w:rPr>
                <w:b/>
              </w:rPr>
              <w:t xml:space="preserve">Description of </w:t>
            </w:r>
            <w:r w:rsidR="00D7172B">
              <w:rPr>
                <w:b/>
              </w:rPr>
              <w:t>Facility</w:t>
            </w:r>
            <w:r w:rsidR="00F3434A" w:rsidRPr="006B5B11">
              <w:rPr>
                <w:b/>
              </w:rPr>
              <w:t>:</w:t>
            </w:r>
          </w:p>
        </w:tc>
        <w:tc>
          <w:tcPr>
            <w:tcW w:w="6295" w:type="dxa"/>
          </w:tcPr>
          <w:p w14:paraId="635196A6" w14:textId="73FF76D3" w:rsidR="00F3434A" w:rsidRPr="006B5B11" w:rsidRDefault="002B043C" w:rsidP="00DB5202">
            <w:r w:rsidRPr="00C7689F">
              <w:rPr>
                <w:bCs/>
              </w:rPr>
              <w:t xml:space="preserve">A </w:t>
            </w:r>
            <w:r w:rsidR="00BA5DB5">
              <w:rPr>
                <w:bCs/>
              </w:rPr>
              <w:t>[</w:t>
            </w:r>
            <w:r w:rsidR="00CC0F8D" w:rsidRPr="00CC0F8D">
              <w:rPr>
                <w:bCs/>
                <w:highlight w:val="lightGray"/>
              </w:rPr>
              <w:t>XX</w:t>
            </w:r>
            <w:r w:rsidR="00BA5DB5">
              <w:rPr>
                <w:bCs/>
              </w:rPr>
              <w:t>]</w:t>
            </w:r>
            <w:r w:rsidRPr="00C7689F">
              <w:rPr>
                <w:bCs/>
              </w:rPr>
              <w:t xml:space="preserve"> MW</w:t>
            </w:r>
            <w:r w:rsidRPr="009D7867">
              <w:rPr>
                <w:bCs/>
                <w:vertAlign w:val="subscript"/>
              </w:rPr>
              <w:t>AC</w:t>
            </w:r>
            <w:r w:rsidRPr="00C7689F">
              <w:rPr>
                <w:bCs/>
              </w:rPr>
              <w:t xml:space="preserve"> </w:t>
            </w:r>
            <w:r w:rsidR="008B0DD7">
              <w:rPr>
                <w:bCs/>
              </w:rPr>
              <w:t xml:space="preserve">renewable energy </w:t>
            </w:r>
            <w:r w:rsidR="002B3F0D">
              <w:rPr>
                <w:bCs/>
              </w:rPr>
              <w:t>electricity generating facility</w:t>
            </w:r>
            <w:r w:rsidR="00B23980">
              <w:rPr>
                <w:bCs/>
              </w:rPr>
              <w:t>,</w:t>
            </w:r>
            <w:r w:rsidRPr="00490FF0">
              <w:rPr>
                <w:bCs/>
              </w:rPr>
              <w:t xml:space="preserve"> located in </w:t>
            </w:r>
            <w:r w:rsidRPr="00CC0F8D">
              <w:rPr>
                <w:bCs/>
                <w:highlight w:val="lightGray"/>
              </w:rPr>
              <w:t>_________</w:t>
            </w:r>
            <w:r w:rsidRPr="00490FF0">
              <w:rPr>
                <w:bCs/>
              </w:rPr>
              <w:t xml:space="preserve"> County, in the State of </w:t>
            </w:r>
            <w:r w:rsidRPr="00CC0F8D">
              <w:rPr>
                <w:bCs/>
                <w:highlight w:val="lightGray"/>
              </w:rPr>
              <w:t>_________</w:t>
            </w:r>
            <w:r w:rsidR="00DB5202">
              <w:rPr>
                <w:bCs/>
              </w:rPr>
              <w:t xml:space="preserve"> (</w:t>
            </w:r>
            <w:r w:rsidR="0084468C" w:rsidRPr="0002466B">
              <w:rPr>
                <w:color w:val="000000" w:themeColor="text1"/>
              </w:rPr>
              <w:t>“</w:t>
            </w:r>
            <w:r w:rsidR="0084468C" w:rsidRPr="0002466B">
              <w:rPr>
                <w:b/>
                <w:bCs/>
                <w:color w:val="000000" w:themeColor="text1"/>
                <w:u w:val="single"/>
              </w:rPr>
              <w:t>Facility</w:t>
            </w:r>
            <w:r w:rsidR="0084468C" w:rsidRPr="0002466B">
              <w:rPr>
                <w:color w:val="000000" w:themeColor="text1"/>
              </w:rPr>
              <w:t>”</w:t>
            </w:r>
            <w:r w:rsidR="00DB5202">
              <w:rPr>
                <w:color w:val="000000" w:themeColor="text1"/>
              </w:rPr>
              <w:t>).</w:t>
            </w:r>
          </w:p>
        </w:tc>
      </w:tr>
      <w:tr w:rsidR="00F3434A" w:rsidRPr="006B5B11" w14:paraId="400BDF85" w14:textId="77777777" w:rsidTr="0080155D">
        <w:tc>
          <w:tcPr>
            <w:tcW w:w="3055" w:type="dxa"/>
          </w:tcPr>
          <w:p w14:paraId="32E7ACD6" w14:textId="1AB70DDE" w:rsidR="00F3434A" w:rsidRPr="006B5B11" w:rsidRDefault="004A5E68" w:rsidP="0060307C">
            <w:pPr>
              <w:spacing w:before="120"/>
              <w:rPr>
                <w:b/>
              </w:rPr>
            </w:pPr>
            <w:r>
              <w:rPr>
                <w:b/>
              </w:rPr>
              <w:t>Guaranteed</w:t>
            </w:r>
            <w:r w:rsidRPr="006B5B11">
              <w:rPr>
                <w:b/>
              </w:rPr>
              <w:t xml:space="preserve"> </w:t>
            </w:r>
            <w:r w:rsidR="00F3434A" w:rsidRPr="006B5B11">
              <w:rPr>
                <w:b/>
              </w:rPr>
              <w:t>Capacity:</w:t>
            </w:r>
          </w:p>
        </w:tc>
        <w:tc>
          <w:tcPr>
            <w:tcW w:w="6295" w:type="dxa"/>
          </w:tcPr>
          <w:p w14:paraId="7BDF494C" w14:textId="18795512" w:rsidR="006773D3" w:rsidRPr="00E429F6" w:rsidRDefault="004A5E68" w:rsidP="0098039F">
            <w:pPr>
              <w:spacing w:before="120" w:after="120"/>
              <w:jc w:val="both"/>
              <w:rPr>
                <w:vertAlign w:val="subscript"/>
              </w:rPr>
            </w:pPr>
            <w:r w:rsidRPr="00E429F6">
              <w:t xml:space="preserve">The </w:t>
            </w:r>
            <w:r w:rsidR="00DB5202">
              <w:t>Facility</w:t>
            </w:r>
            <w:r w:rsidRPr="00E429F6">
              <w:t xml:space="preserve"> has a Guaranteed Capacity of </w:t>
            </w:r>
            <w:r w:rsidR="00BA5DB5">
              <w:rPr>
                <w:highlight w:val="lightGray"/>
              </w:rPr>
              <w:t>[XX]</w:t>
            </w:r>
            <w:r w:rsidR="00BF6FE9" w:rsidRPr="00723434">
              <w:t xml:space="preserve"> </w:t>
            </w:r>
            <w:r w:rsidR="00367A2D" w:rsidRPr="007565F5">
              <w:t>MW</w:t>
            </w:r>
            <w:r w:rsidR="00367A2D" w:rsidRPr="007565F5">
              <w:rPr>
                <w:vertAlign w:val="subscript"/>
              </w:rPr>
              <w:t>AC</w:t>
            </w:r>
            <w:r w:rsidR="00E429F6">
              <w:t>.</w:t>
            </w:r>
          </w:p>
        </w:tc>
      </w:tr>
      <w:tr w:rsidR="00183DA9" w:rsidRPr="006B5B11" w14:paraId="07D28E9E" w14:textId="77777777" w:rsidTr="0080155D">
        <w:tc>
          <w:tcPr>
            <w:tcW w:w="3055" w:type="dxa"/>
          </w:tcPr>
          <w:p w14:paraId="54BB2F48" w14:textId="77777777" w:rsidR="00183DA9" w:rsidRPr="006B5B11" w:rsidRDefault="00183DA9" w:rsidP="0060307C">
            <w:pPr>
              <w:spacing w:before="120"/>
              <w:rPr>
                <w:b/>
              </w:rPr>
            </w:pPr>
            <w:r w:rsidRPr="006B5B11">
              <w:rPr>
                <w:b/>
              </w:rPr>
              <w:t xml:space="preserve">Product: </w:t>
            </w:r>
          </w:p>
        </w:tc>
        <w:tc>
          <w:tcPr>
            <w:tcW w:w="6295" w:type="dxa"/>
          </w:tcPr>
          <w:p w14:paraId="18080C74" w14:textId="1368F947" w:rsidR="007D2545" w:rsidRPr="006B5B11" w:rsidRDefault="00D7172B" w:rsidP="0098039F">
            <w:pPr>
              <w:spacing w:before="120" w:after="120"/>
              <w:jc w:val="both"/>
              <w:rPr>
                <w:i/>
              </w:rPr>
            </w:pPr>
            <w:r w:rsidRPr="00D7172B">
              <w:t>“</w:t>
            </w:r>
            <w:r w:rsidR="005A5B1F" w:rsidRPr="00D7172B">
              <w:rPr>
                <w:b/>
                <w:bCs/>
                <w:u w:val="single"/>
              </w:rPr>
              <w:t>Product</w:t>
            </w:r>
            <w:r w:rsidRPr="00D7172B">
              <w:t>”</w:t>
            </w:r>
            <w:r w:rsidR="005A5B1F" w:rsidRPr="006B5B11">
              <w:t xml:space="preserve"> means all energy, capacity, resource adequacy, ancillary services, </w:t>
            </w:r>
            <w:r w:rsidR="00723434">
              <w:t xml:space="preserve">and </w:t>
            </w:r>
            <w:r w:rsidR="005A5B1F" w:rsidRPr="006B5B11">
              <w:t>environmental attributes</w:t>
            </w:r>
            <w:r w:rsidR="00723434">
              <w:t xml:space="preserve"> (including RECs)</w:t>
            </w:r>
            <w:r w:rsidR="005A5B1F" w:rsidRPr="006B5B11">
              <w:t xml:space="preserve"> produced by the </w:t>
            </w:r>
            <w:r>
              <w:t>Facility</w:t>
            </w:r>
            <w:r w:rsidR="005A5B1F" w:rsidRPr="006B5B11">
              <w:t>.</w:t>
            </w:r>
            <w:r w:rsidR="007D2545" w:rsidRPr="006B5B11">
              <w:rPr>
                <w:bCs/>
                <w:i/>
              </w:rPr>
              <w:t xml:space="preserve"> </w:t>
            </w:r>
          </w:p>
        </w:tc>
      </w:tr>
      <w:tr w:rsidR="00005184" w:rsidRPr="006B5B11" w14:paraId="6C52B014" w14:textId="77777777" w:rsidTr="0080155D">
        <w:tc>
          <w:tcPr>
            <w:tcW w:w="3055" w:type="dxa"/>
          </w:tcPr>
          <w:p w14:paraId="03E7FC22" w14:textId="77777777" w:rsidR="00005184" w:rsidRPr="006B5B11" w:rsidRDefault="00005184" w:rsidP="0060307C">
            <w:pPr>
              <w:spacing w:before="120"/>
              <w:rPr>
                <w:b/>
              </w:rPr>
            </w:pPr>
            <w:r w:rsidRPr="006B5B11">
              <w:rPr>
                <w:b/>
              </w:rPr>
              <w:t>Delivery Term:</w:t>
            </w:r>
          </w:p>
        </w:tc>
        <w:tc>
          <w:tcPr>
            <w:tcW w:w="6295" w:type="dxa"/>
          </w:tcPr>
          <w:p w14:paraId="75C04637" w14:textId="5D65B10E" w:rsidR="00005184" w:rsidRPr="006B5B11" w:rsidRDefault="002B3AD3" w:rsidP="0098039F">
            <w:pPr>
              <w:spacing w:before="120" w:after="120"/>
              <w:jc w:val="both"/>
            </w:pPr>
            <w:r>
              <w:t>“</w:t>
            </w:r>
            <w:r w:rsidRPr="002B3AD3">
              <w:rPr>
                <w:b/>
                <w:bCs/>
                <w:u w:val="single"/>
              </w:rPr>
              <w:t>Delivery Term</w:t>
            </w:r>
            <w:r>
              <w:t>”</w:t>
            </w:r>
            <w:r w:rsidRPr="002B3AD3">
              <w:t xml:space="preserve"> means</w:t>
            </w:r>
            <w:r w:rsidR="00BA5DB5">
              <w:t xml:space="preserve"> </w:t>
            </w:r>
            <w:r w:rsidR="00BA5DB5">
              <w:rPr>
                <w:bCs/>
              </w:rPr>
              <w:t>[</w:t>
            </w:r>
            <w:r w:rsidR="00BA5DB5" w:rsidRPr="00CC0F8D">
              <w:rPr>
                <w:bCs/>
                <w:highlight w:val="lightGray"/>
              </w:rPr>
              <w:t>XX</w:t>
            </w:r>
            <w:r w:rsidR="00BA5DB5">
              <w:rPr>
                <w:bCs/>
              </w:rPr>
              <w:t>]</w:t>
            </w:r>
            <w:r w:rsidR="00C828E8" w:rsidRPr="006B5B11">
              <w:t xml:space="preserve"> </w:t>
            </w:r>
            <w:r w:rsidR="00005184" w:rsidRPr="006B5B11">
              <w:t>Contract Years</w:t>
            </w:r>
            <w:r w:rsidR="00867DD9">
              <w:t xml:space="preserve">.  </w:t>
            </w:r>
            <w:r w:rsidR="00867DD9" w:rsidRPr="0002466B">
              <w:rPr>
                <w:color w:val="000000" w:themeColor="text1"/>
              </w:rPr>
              <w:t>“</w:t>
            </w:r>
            <w:r w:rsidR="00867DD9" w:rsidRPr="0002466B">
              <w:rPr>
                <w:b/>
                <w:bCs/>
                <w:color w:val="000000" w:themeColor="text1"/>
                <w:u w:val="single"/>
              </w:rPr>
              <w:t>Contract Year</w:t>
            </w:r>
            <w:r w:rsidR="00867DD9" w:rsidRPr="0002466B">
              <w:rPr>
                <w:color w:val="000000" w:themeColor="text1"/>
              </w:rPr>
              <w:t>” means a period of twelve (12) consecutive months</w:t>
            </w:r>
            <w:r w:rsidR="00867DD9">
              <w:rPr>
                <w:color w:val="000000" w:themeColor="text1"/>
              </w:rPr>
              <w:t xml:space="preserve">.  </w:t>
            </w:r>
            <w:r w:rsidR="00867DD9" w:rsidRPr="0002466B">
              <w:rPr>
                <w:color w:val="000000" w:themeColor="text1"/>
              </w:rPr>
              <w:t>The first Contract Year shall commence on the Commercial Operation Date and each subsequent Contract Year shall commence on the anniversary of the Commercial Operation Date.</w:t>
            </w:r>
          </w:p>
        </w:tc>
      </w:tr>
      <w:tr w:rsidR="000E71CB" w:rsidRPr="006B5B11" w14:paraId="42D5E4D3" w14:textId="77777777" w:rsidTr="0080155D">
        <w:tc>
          <w:tcPr>
            <w:tcW w:w="3055" w:type="dxa"/>
          </w:tcPr>
          <w:p w14:paraId="3B39D219" w14:textId="71B3E2F6" w:rsidR="000E71CB" w:rsidRPr="006B5B11" w:rsidRDefault="000E71CB" w:rsidP="0060307C">
            <w:pPr>
              <w:spacing w:before="120"/>
              <w:rPr>
                <w:b/>
              </w:rPr>
            </w:pPr>
            <w:r w:rsidRPr="006B5B11">
              <w:rPr>
                <w:b/>
              </w:rPr>
              <w:t>Interconnection Point</w:t>
            </w:r>
            <w:r w:rsidR="004C21D8" w:rsidRPr="006B5B11">
              <w:rPr>
                <w:b/>
              </w:rPr>
              <w:t>:</w:t>
            </w:r>
          </w:p>
        </w:tc>
        <w:tc>
          <w:tcPr>
            <w:tcW w:w="6295" w:type="dxa"/>
          </w:tcPr>
          <w:p w14:paraId="343DD30A" w14:textId="5755238A" w:rsidR="000E71CB" w:rsidRPr="006B5B11" w:rsidRDefault="00AD12F8" w:rsidP="0098039F">
            <w:pPr>
              <w:spacing w:before="120" w:after="120"/>
              <w:jc w:val="both"/>
            </w:pPr>
            <w:r w:rsidRPr="006B5B11">
              <w:t xml:space="preserve">The </w:t>
            </w:r>
            <w:r w:rsidR="00D7172B">
              <w:t>Facility</w:t>
            </w:r>
            <w:r w:rsidRPr="006B5B11">
              <w:t xml:space="preserve"> shall interconnect to [</w:t>
            </w:r>
            <w:r w:rsidRPr="006B5B11">
              <w:rPr>
                <w:i/>
                <w:highlight w:val="lightGray"/>
              </w:rPr>
              <w:t>e.g., XX substation</w:t>
            </w:r>
            <w:r w:rsidRPr="006B5B11">
              <w:t>] (the “</w:t>
            </w:r>
            <w:r w:rsidRPr="006B5B11">
              <w:rPr>
                <w:b/>
                <w:u w:val="single"/>
              </w:rPr>
              <w:t>Interconnection Point</w:t>
            </w:r>
            <w:r w:rsidRPr="006B5B11">
              <w:t xml:space="preserve">”). Seller shall be responsible for all costs of interconnecting the </w:t>
            </w:r>
            <w:r w:rsidR="00D7172B">
              <w:t>Facility</w:t>
            </w:r>
            <w:r w:rsidRPr="006B5B11">
              <w:t xml:space="preserve"> to the Interconnection Point.</w:t>
            </w:r>
          </w:p>
        </w:tc>
      </w:tr>
      <w:tr w:rsidR="00267633" w:rsidRPr="006B5B11" w14:paraId="0205AC56" w14:textId="77777777" w:rsidTr="0080155D">
        <w:tc>
          <w:tcPr>
            <w:tcW w:w="3055" w:type="dxa"/>
          </w:tcPr>
          <w:p w14:paraId="22B8435A" w14:textId="77777777" w:rsidR="00267633" w:rsidRPr="006B5B11" w:rsidRDefault="00267633" w:rsidP="00267633">
            <w:pPr>
              <w:spacing w:before="120"/>
              <w:rPr>
                <w:b/>
              </w:rPr>
            </w:pPr>
            <w:r w:rsidRPr="006B5B11">
              <w:rPr>
                <w:b/>
              </w:rPr>
              <w:t>Delivery Point:</w:t>
            </w:r>
          </w:p>
        </w:tc>
        <w:tc>
          <w:tcPr>
            <w:tcW w:w="6295" w:type="dxa"/>
          </w:tcPr>
          <w:p w14:paraId="3A30ED20" w14:textId="71E82316" w:rsidR="00267633" w:rsidRPr="006B5B11" w:rsidRDefault="00267633" w:rsidP="0098039F">
            <w:pPr>
              <w:spacing w:before="120" w:after="120"/>
              <w:jc w:val="both"/>
            </w:pPr>
            <w:r w:rsidRPr="006B5B11">
              <w:t>“</w:t>
            </w:r>
            <w:r w:rsidRPr="006B5B11">
              <w:rPr>
                <w:b/>
                <w:u w:val="single"/>
              </w:rPr>
              <w:t>Delivery Point</w:t>
            </w:r>
            <w:r w:rsidRPr="006B5B11">
              <w:t xml:space="preserve">” means </w:t>
            </w:r>
            <w:r w:rsidRPr="00A00F7D">
              <w:t>the Facility Pnode</w:t>
            </w:r>
            <w:r w:rsidRPr="006B5B11">
              <w:t xml:space="preserve"> on the CAISO grid.</w:t>
            </w:r>
          </w:p>
        </w:tc>
      </w:tr>
      <w:tr w:rsidR="00C2274B" w:rsidRPr="006B5B11" w14:paraId="07B9ACB3" w14:textId="77777777" w:rsidTr="0080155D">
        <w:tc>
          <w:tcPr>
            <w:tcW w:w="3055" w:type="dxa"/>
          </w:tcPr>
          <w:p w14:paraId="3575B6CA" w14:textId="3AAC19CE" w:rsidR="00C2274B" w:rsidRPr="006B5B11" w:rsidDel="00C2274B" w:rsidRDefault="00C2274B" w:rsidP="000469C3">
            <w:pPr>
              <w:spacing w:before="120"/>
              <w:rPr>
                <w:b/>
              </w:rPr>
            </w:pPr>
            <w:r>
              <w:rPr>
                <w:b/>
              </w:rPr>
              <w:lastRenderedPageBreak/>
              <w:t>Expected Energy</w:t>
            </w:r>
            <w:r w:rsidR="00A00F7D">
              <w:rPr>
                <w:b/>
              </w:rPr>
              <w:t>:</w:t>
            </w:r>
          </w:p>
        </w:tc>
        <w:tc>
          <w:tcPr>
            <w:tcW w:w="6295" w:type="dxa"/>
          </w:tcPr>
          <w:p w14:paraId="7FF22671" w14:textId="20038DC7" w:rsidR="00C2274B" w:rsidRPr="006B5B11" w:rsidDel="00C2274B" w:rsidRDefault="00CF67C0" w:rsidP="0098039F">
            <w:pPr>
              <w:spacing w:before="120" w:after="120"/>
              <w:jc w:val="both"/>
            </w:pPr>
            <w:r w:rsidRPr="00CF67C0">
              <w:rPr>
                <w:bCs/>
              </w:rPr>
              <w:t>“</w:t>
            </w:r>
            <w:r w:rsidRPr="00CF67C0">
              <w:rPr>
                <w:b/>
                <w:u w:val="single"/>
              </w:rPr>
              <w:t>Expected Energy</w:t>
            </w:r>
            <w:r w:rsidRPr="00CF67C0">
              <w:rPr>
                <w:bCs/>
              </w:rPr>
              <w:t>”</w:t>
            </w:r>
            <w:r>
              <w:t xml:space="preserve"> means</w:t>
            </w:r>
            <w:r>
              <w:rPr>
                <w:b/>
                <w:bCs/>
              </w:rPr>
              <w:t xml:space="preserve"> </w:t>
            </w:r>
            <w:r w:rsidR="00CC0F8D">
              <w:t>[</w:t>
            </w:r>
            <w:r w:rsidR="00CC0F8D" w:rsidRPr="00CC0F8D">
              <w:rPr>
                <w:highlight w:val="lightGray"/>
              </w:rPr>
              <w:t>XXX,XXX</w:t>
            </w:r>
            <w:r w:rsidR="00BA5DB5">
              <w:t>]</w:t>
            </w:r>
            <w:r w:rsidR="00CC0F8D">
              <w:t xml:space="preserve"> MWh during the first Contract Year and for each Contract Year thereafter during the Delivery Term.  [</w:t>
            </w:r>
            <w:r w:rsidR="00CC0F8D" w:rsidRPr="00CC0F8D">
              <w:rPr>
                <w:i/>
                <w:iCs/>
                <w:highlight w:val="lightGray"/>
              </w:rPr>
              <w:t>If there is an annual adjustment for degradation, this should be noted.</w:t>
            </w:r>
            <w:r w:rsidR="00CC0F8D">
              <w:t>]</w:t>
            </w:r>
          </w:p>
        </w:tc>
      </w:tr>
      <w:tr w:rsidR="00D537D1" w:rsidRPr="006B5B11" w14:paraId="2320183E" w14:textId="77777777" w:rsidTr="0080155D">
        <w:tc>
          <w:tcPr>
            <w:tcW w:w="3055" w:type="dxa"/>
          </w:tcPr>
          <w:p w14:paraId="3B030901" w14:textId="0FC4BE53" w:rsidR="00D537D1" w:rsidRDefault="00687F3B" w:rsidP="000469C3">
            <w:pPr>
              <w:spacing w:before="120"/>
              <w:rPr>
                <w:b/>
              </w:rPr>
            </w:pPr>
            <w:r>
              <w:rPr>
                <w:b/>
              </w:rPr>
              <w:t>Contract Price</w:t>
            </w:r>
            <w:r w:rsidR="00D537D1">
              <w:rPr>
                <w:b/>
              </w:rPr>
              <w:t>:</w:t>
            </w:r>
          </w:p>
        </w:tc>
        <w:tc>
          <w:tcPr>
            <w:tcW w:w="6295" w:type="dxa"/>
          </w:tcPr>
          <w:p w14:paraId="7E7D2C79" w14:textId="152EB505" w:rsidR="00D537D1" w:rsidRPr="006C0CA8" w:rsidRDefault="00D537D1" w:rsidP="00A00F7D">
            <w:pPr>
              <w:spacing w:before="120" w:after="120"/>
              <w:jc w:val="both"/>
            </w:pPr>
            <w:r>
              <w:t xml:space="preserve">The </w:t>
            </w:r>
            <w:r w:rsidR="00687F3B">
              <w:t>Contract Price</w:t>
            </w:r>
            <w:r>
              <w:t xml:space="preserve"> shall be $[</w:t>
            </w:r>
            <w:r w:rsidRPr="009D7867">
              <w:rPr>
                <w:highlight w:val="lightGray"/>
              </w:rPr>
              <w:t>XX</w:t>
            </w:r>
            <w:r>
              <w:t>]/MWh. [</w:t>
            </w:r>
            <w:r w:rsidRPr="00CC0F8D">
              <w:rPr>
                <w:i/>
                <w:iCs/>
                <w:highlight w:val="lightGray"/>
              </w:rPr>
              <w:t xml:space="preserve">If there is an </w:t>
            </w:r>
            <w:r>
              <w:rPr>
                <w:i/>
                <w:iCs/>
                <w:highlight w:val="lightGray"/>
              </w:rPr>
              <w:t>escalator</w:t>
            </w:r>
            <w:r w:rsidRPr="00CC0F8D">
              <w:rPr>
                <w:i/>
                <w:iCs/>
                <w:highlight w:val="lightGray"/>
              </w:rPr>
              <w:t>, this should be noted.</w:t>
            </w:r>
            <w:r>
              <w:t>]</w:t>
            </w:r>
          </w:p>
        </w:tc>
      </w:tr>
      <w:tr w:rsidR="00C2274B" w:rsidRPr="006B5B11" w14:paraId="6BA0D386" w14:textId="77777777" w:rsidTr="0080155D">
        <w:tc>
          <w:tcPr>
            <w:tcW w:w="3055" w:type="dxa"/>
          </w:tcPr>
          <w:p w14:paraId="21DE9021" w14:textId="3A4315E7" w:rsidR="00C2274B" w:rsidRPr="006B5B11" w:rsidDel="00C2274B" w:rsidRDefault="00C2274B" w:rsidP="000469C3">
            <w:pPr>
              <w:spacing w:before="120"/>
              <w:rPr>
                <w:b/>
              </w:rPr>
            </w:pPr>
            <w:r>
              <w:rPr>
                <w:b/>
              </w:rPr>
              <w:t xml:space="preserve">Test </w:t>
            </w:r>
            <w:r w:rsidRPr="00A00F7D">
              <w:rPr>
                <w:b/>
              </w:rPr>
              <w:t>Energy</w:t>
            </w:r>
            <w:r w:rsidR="00A00F7D" w:rsidRPr="00A00F7D">
              <w:rPr>
                <w:b/>
              </w:rPr>
              <w:t xml:space="preserve"> Rate</w:t>
            </w:r>
          </w:p>
        </w:tc>
        <w:tc>
          <w:tcPr>
            <w:tcW w:w="6295" w:type="dxa"/>
          </w:tcPr>
          <w:p w14:paraId="724C13CF" w14:textId="7B3C772E" w:rsidR="00C2274B" w:rsidRPr="006B5B11" w:rsidDel="00C2274B" w:rsidRDefault="00C2274B" w:rsidP="00A00F7D">
            <w:pPr>
              <w:spacing w:before="120" w:after="120"/>
              <w:jc w:val="both"/>
            </w:pPr>
            <w:r w:rsidRPr="006C0CA8">
              <w:t xml:space="preserve">Prior to COD, Buyer </w:t>
            </w:r>
            <w:r w:rsidRPr="00A00F7D">
              <w:t xml:space="preserve">will purchase </w:t>
            </w:r>
            <w:r w:rsidR="00A00F7D" w:rsidRPr="008527A7">
              <w:rPr>
                <w:color w:val="000000" w:themeColor="text1"/>
                <w:szCs w:val="20"/>
              </w:rPr>
              <w:t>all Test Energy and any associated Product</w:t>
            </w:r>
            <w:r w:rsidR="00A00F7D">
              <w:rPr>
                <w:color w:val="000000" w:themeColor="text1"/>
                <w:szCs w:val="20"/>
              </w:rPr>
              <w:t xml:space="preserve"> </w:t>
            </w:r>
            <w:r w:rsidRPr="00A00F7D">
              <w:rPr>
                <w:color w:val="000000" w:themeColor="text1"/>
              </w:rPr>
              <w:t xml:space="preserve">at </w:t>
            </w:r>
            <w:r w:rsidR="00A00F7D">
              <w:rPr>
                <w:color w:val="000000" w:themeColor="text1"/>
              </w:rPr>
              <w:t>fifty percent (</w:t>
            </w:r>
            <w:r w:rsidR="00A00F7D" w:rsidRPr="00A00F7D">
              <w:rPr>
                <w:color w:val="000000" w:themeColor="text1"/>
              </w:rPr>
              <w:t>50</w:t>
            </w:r>
            <w:r w:rsidRPr="00A00F7D">
              <w:rPr>
                <w:color w:val="000000" w:themeColor="text1"/>
              </w:rPr>
              <w:t>%</w:t>
            </w:r>
            <w:r w:rsidR="00A00F7D">
              <w:rPr>
                <w:color w:val="000000" w:themeColor="text1"/>
              </w:rPr>
              <w:t>)</w:t>
            </w:r>
            <w:r w:rsidRPr="00A00F7D">
              <w:rPr>
                <w:color w:val="000000" w:themeColor="text1"/>
              </w:rPr>
              <w:t xml:space="preserve"> of the </w:t>
            </w:r>
            <w:r w:rsidR="00687F3B">
              <w:rPr>
                <w:color w:val="000000" w:themeColor="text1"/>
              </w:rPr>
              <w:t>Contract Price</w:t>
            </w:r>
            <w:r w:rsidR="003D1F76">
              <w:rPr>
                <w:color w:val="000000" w:themeColor="text1"/>
              </w:rPr>
              <w:t xml:space="preserve"> for up to ninety (90) days</w:t>
            </w:r>
            <w:r w:rsidRPr="00A00F7D">
              <w:t>.</w:t>
            </w:r>
          </w:p>
        </w:tc>
      </w:tr>
      <w:tr w:rsidR="00C2274B" w:rsidRPr="006B5B11" w14:paraId="2942D712" w14:textId="77777777" w:rsidTr="0080155D">
        <w:tc>
          <w:tcPr>
            <w:tcW w:w="3055" w:type="dxa"/>
          </w:tcPr>
          <w:p w14:paraId="34438936" w14:textId="41C640A4" w:rsidR="00C2274B" w:rsidRPr="006C0CA8" w:rsidRDefault="007B5665" w:rsidP="00C2274B">
            <w:pPr>
              <w:spacing w:before="120" w:after="120"/>
              <w:rPr>
                <w:b/>
              </w:rPr>
            </w:pPr>
            <w:r>
              <w:rPr>
                <w:b/>
              </w:rPr>
              <w:t>Guaranteed Energy Production</w:t>
            </w:r>
            <w:r w:rsidR="00C2274B">
              <w:rPr>
                <w:b/>
              </w:rPr>
              <w:t>:</w:t>
            </w:r>
          </w:p>
          <w:p w14:paraId="7D38980D" w14:textId="77777777" w:rsidR="00C2274B" w:rsidRPr="006B5B11" w:rsidDel="00C2274B" w:rsidRDefault="00C2274B" w:rsidP="000469C3">
            <w:pPr>
              <w:spacing w:before="120"/>
              <w:rPr>
                <w:b/>
              </w:rPr>
            </w:pPr>
          </w:p>
        </w:tc>
        <w:tc>
          <w:tcPr>
            <w:tcW w:w="6295" w:type="dxa"/>
          </w:tcPr>
          <w:p w14:paraId="49EEC047" w14:textId="73ACE71D" w:rsidR="00C2274B" w:rsidRPr="006C0CA8" w:rsidRDefault="00C2274B" w:rsidP="00C2274B">
            <w:pPr>
              <w:spacing w:before="120" w:after="120"/>
              <w:jc w:val="both"/>
              <w:outlineLvl w:val="3"/>
            </w:pPr>
            <w:r w:rsidRPr="006C0CA8">
              <w:t xml:space="preserve">Seller </w:t>
            </w:r>
            <w:r w:rsidR="007F014B" w:rsidRPr="000E37EB">
              <w:rPr>
                <w:color w:val="000000" w:themeColor="text1"/>
              </w:rPr>
              <w:t>shall deliver to Buyer no less than the Guaranteed Energy Production in each Performance Measurement Period</w:t>
            </w:r>
            <w:r w:rsidRPr="006C0CA8">
              <w:t>.</w:t>
            </w:r>
          </w:p>
          <w:p w14:paraId="675338AF" w14:textId="2003EFED" w:rsidR="00C2274B" w:rsidRPr="006C0CA8" w:rsidRDefault="00C2274B" w:rsidP="00C2274B">
            <w:pPr>
              <w:spacing w:before="120" w:after="120"/>
              <w:jc w:val="both"/>
              <w:outlineLvl w:val="3"/>
            </w:pPr>
            <w:r w:rsidRPr="006C0CA8">
              <w:t>The “</w:t>
            </w:r>
            <w:r w:rsidR="007F014B" w:rsidRPr="007F014B">
              <w:rPr>
                <w:b/>
                <w:bCs/>
                <w:color w:val="000000" w:themeColor="text1"/>
                <w:u w:val="single"/>
              </w:rPr>
              <w:t>Guaranteed Energy Production</w:t>
            </w:r>
            <w:r w:rsidRPr="006C0CA8">
              <w:t xml:space="preserve">” </w:t>
            </w:r>
            <w:r w:rsidR="007F014B" w:rsidRPr="0002466B">
              <w:rPr>
                <w:color w:val="000000" w:themeColor="text1"/>
              </w:rPr>
              <w:t>means an amount of Energy, as measured in MWh, equal to the total Expected Energy for the applicable Performance Measurement Period</w:t>
            </w:r>
            <w:r w:rsidR="007F014B" w:rsidRPr="006C0CA8">
              <w:t xml:space="preserve"> </w:t>
            </w:r>
            <w:r w:rsidR="007F014B">
              <w:t>multiplied by</w:t>
            </w:r>
            <w:r w:rsidRPr="006C0CA8">
              <w:t xml:space="preserve"> the </w:t>
            </w:r>
            <w:r w:rsidR="007F014B">
              <w:t>applicable</w:t>
            </w:r>
            <w:r w:rsidRPr="006C0CA8">
              <w:t xml:space="preserve"> percentage, based on technology type:</w:t>
            </w:r>
          </w:p>
          <w:p w14:paraId="248CD7C4" w14:textId="498FB90C" w:rsidR="0053570D" w:rsidRPr="0053570D" w:rsidRDefault="0053570D" w:rsidP="0053570D">
            <w:pPr>
              <w:pStyle w:val="ListParagraph"/>
              <w:numPr>
                <w:ilvl w:val="0"/>
                <w:numId w:val="19"/>
              </w:numPr>
              <w:contextualSpacing w:val="0"/>
              <w:jc w:val="both"/>
              <w:outlineLvl w:val="3"/>
            </w:pPr>
            <w:r w:rsidRPr="0053570D">
              <w:t xml:space="preserve">Wind: </w:t>
            </w:r>
            <w:r w:rsidR="007F014B">
              <w:t>75</w:t>
            </w:r>
            <w:r w:rsidRPr="0053570D">
              <w:t>%</w:t>
            </w:r>
          </w:p>
          <w:p w14:paraId="4A3E3D6A" w14:textId="77777777" w:rsidR="0053570D" w:rsidRPr="0053570D" w:rsidRDefault="0053570D" w:rsidP="0053570D">
            <w:pPr>
              <w:pStyle w:val="ListParagraph"/>
              <w:numPr>
                <w:ilvl w:val="0"/>
                <w:numId w:val="19"/>
              </w:numPr>
              <w:contextualSpacing w:val="0"/>
              <w:jc w:val="both"/>
              <w:outlineLvl w:val="3"/>
            </w:pPr>
            <w:r w:rsidRPr="0053570D">
              <w:t>Geothermal: 90%</w:t>
            </w:r>
          </w:p>
          <w:p w14:paraId="57BFCD69" w14:textId="26A36F6E" w:rsidR="0053570D" w:rsidRPr="0053570D" w:rsidRDefault="0053570D" w:rsidP="0053570D">
            <w:pPr>
              <w:pStyle w:val="ListParagraph"/>
              <w:numPr>
                <w:ilvl w:val="0"/>
                <w:numId w:val="19"/>
              </w:numPr>
              <w:contextualSpacing w:val="0"/>
              <w:jc w:val="both"/>
              <w:outlineLvl w:val="3"/>
            </w:pPr>
            <w:r w:rsidRPr="0053570D">
              <w:t xml:space="preserve">Small Hydro: </w:t>
            </w:r>
            <w:r w:rsidR="007F014B">
              <w:t>85</w:t>
            </w:r>
            <w:r w:rsidRPr="0053570D">
              <w:t>%</w:t>
            </w:r>
          </w:p>
          <w:p w14:paraId="0493B7A2" w14:textId="77777777" w:rsidR="00C2274B" w:rsidRDefault="00C2274B" w:rsidP="00C2274B">
            <w:pPr>
              <w:spacing w:before="120" w:after="120"/>
              <w:jc w:val="both"/>
            </w:pPr>
            <w:r w:rsidRPr="006C0CA8">
              <w:t>The “</w:t>
            </w:r>
            <w:r w:rsidRPr="007F014B">
              <w:rPr>
                <w:b/>
                <w:bCs/>
                <w:u w:val="single"/>
              </w:rPr>
              <w:t>Performance Measurement Period</w:t>
            </w:r>
            <w:r w:rsidRPr="006C0CA8">
              <w:t>” shall be each</w:t>
            </w:r>
            <w:r w:rsidR="0053570D">
              <w:t xml:space="preserve"> </w:t>
            </w:r>
            <w:r w:rsidR="0053570D" w:rsidRPr="0002466B">
              <w:rPr>
                <w:color w:val="000000" w:themeColor="text1"/>
              </w:rPr>
              <w:t>two (2) consecutive Contract Year period during the Delivery Term</w:t>
            </w:r>
            <w:r w:rsidR="0053570D" w:rsidRPr="0053570D">
              <w:t xml:space="preserve">, except </w:t>
            </w:r>
            <w:r w:rsidR="007F014B">
              <w:t>f</w:t>
            </w:r>
            <w:r w:rsidR="0053570D" w:rsidRPr="0053570D">
              <w:t xml:space="preserve">or geothermal, </w:t>
            </w:r>
            <w:r w:rsidR="007F014B">
              <w:t xml:space="preserve">which </w:t>
            </w:r>
            <w:r w:rsidR="0053570D" w:rsidRPr="0053570D">
              <w:t xml:space="preserve">shall be each </w:t>
            </w:r>
            <w:r w:rsidR="0053570D">
              <w:t>Contract Year, all calculated on a rolling basis</w:t>
            </w:r>
            <w:r w:rsidR="0053570D" w:rsidRPr="0053570D">
              <w:t>.</w:t>
            </w:r>
          </w:p>
          <w:p w14:paraId="6BB8998E" w14:textId="77777777" w:rsidR="00334B47" w:rsidRDefault="00334B47" w:rsidP="00C2274B">
            <w:pPr>
              <w:spacing w:before="120" w:after="120"/>
              <w:jc w:val="both"/>
              <w:rPr>
                <w:color w:val="000000" w:themeColor="text1"/>
              </w:rPr>
            </w:pPr>
            <w:r w:rsidRPr="000E37EB">
              <w:rPr>
                <w:color w:val="000000" w:themeColor="text1"/>
              </w:rPr>
              <w:t xml:space="preserve">For purposes of determining whether Seller has achieved the Guaranteed Energy Production, Seller shall be deemed to have delivered to Buyer </w:t>
            </w:r>
            <w:r>
              <w:rPr>
                <w:color w:val="000000" w:themeColor="text1"/>
              </w:rPr>
              <w:t xml:space="preserve">(i) </w:t>
            </w:r>
            <w:r w:rsidRPr="000E37EB">
              <w:rPr>
                <w:color w:val="000000" w:themeColor="text1"/>
              </w:rPr>
              <w:t>any Deemed Delivered Energy and (</w:t>
            </w:r>
            <w:r>
              <w:rPr>
                <w:color w:val="000000" w:themeColor="text1"/>
              </w:rPr>
              <w:t>ii)</w:t>
            </w:r>
            <w:r w:rsidRPr="000E37EB">
              <w:rPr>
                <w:color w:val="000000" w:themeColor="text1"/>
              </w:rPr>
              <w:t xml:space="preserve"> Energy in the amount it could reasonably have delivered to Buyer but was prevented from delivering to Buyer by reason of Force Majeure Events, System Emergenc</w:t>
            </w:r>
            <w:r>
              <w:rPr>
                <w:color w:val="000000" w:themeColor="text1"/>
              </w:rPr>
              <w:t>y</w:t>
            </w:r>
            <w:r w:rsidRPr="000E37EB">
              <w:rPr>
                <w:color w:val="000000" w:themeColor="text1"/>
              </w:rPr>
              <w:t>, and Curtailment Periods</w:t>
            </w:r>
            <w:r>
              <w:rPr>
                <w:color w:val="000000" w:themeColor="text1"/>
              </w:rPr>
              <w:t xml:space="preserve"> (the “</w:t>
            </w:r>
            <w:r w:rsidRPr="00334B47">
              <w:rPr>
                <w:b/>
                <w:bCs/>
                <w:color w:val="000000" w:themeColor="text1"/>
                <w:u w:val="single"/>
              </w:rPr>
              <w:t>Adjusted Energy Production</w:t>
            </w:r>
            <w:r>
              <w:rPr>
                <w:color w:val="000000" w:themeColor="text1"/>
              </w:rPr>
              <w:t>”)</w:t>
            </w:r>
            <w:r w:rsidRPr="000E37EB">
              <w:rPr>
                <w:color w:val="000000" w:themeColor="text1"/>
              </w:rPr>
              <w:t xml:space="preserve">.  </w:t>
            </w:r>
          </w:p>
          <w:p w14:paraId="7F2E2B5F" w14:textId="565ED6BF" w:rsidR="006A6C6F" w:rsidRPr="006B5B11" w:rsidDel="00C2274B" w:rsidRDefault="006A6C6F" w:rsidP="00C2274B">
            <w:pPr>
              <w:spacing w:before="120" w:after="120"/>
              <w:jc w:val="both"/>
            </w:pPr>
            <w:r w:rsidRPr="000E37EB">
              <w:rPr>
                <w:color w:val="000000" w:themeColor="text1"/>
              </w:rPr>
              <w:t xml:space="preserve">If Seller fails to achieve the Guaranteed Energy Production amount in any Performance Measurement Period, Seller shall pay Buyer </w:t>
            </w:r>
            <w:r>
              <w:rPr>
                <w:color w:val="000000" w:themeColor="text1"/>
              </w:rPr>
              <w:t xml:space="preserve">liquidated </w:t>
            </w:r>
            <w:r w:rsidRPr="000E37EB">
              <w:rPr>
                <w:color w:val="000000" w:themeColor="text1"/>
              </w:rPr>
              <w:t>damages</w:t>
            </w:r>
            <w:r w:rsidRPr="006C0CA8">
              <w:t xml:space="preserve"> </w:t>
            </w:r>
            <w:r>
              <w:t xml:space="preserve">equal to (a) the difference of the </w:t>
            </w:r>
            <w:r w:rsidRPr="000E37EB">
              <w:rPr>
                <w:color w:val="000000" w:themeColor="text1"/>
              </w:rPr>
              <w:t>Guaranteed Energy Production</w:t>
            </w:r>
            <w:r>
              <w:rPr>
                <w:color w:val="000000" w:themeColor="text1"/>
              </w:rPr>
              <w:t xml:space="preserve"> less the Adjusted Energy Production, multiplied by (b) the replacement price for the energy and RECs less the </w:t>
            </w:r>
            <w:r w:rsidR="00687F3B">
              <w:rPr>
                <w:color w:val="000000" w:themeColor="text1"/>
              </w:rPr>
              <w:t>Contract Price</w:t>
            </w:r>
            <w:r>
              <w:rPr>
                <w:color w:val="000000" w:themeColor="text1"/>
              </w:rPr>
              <w:t xml:space="preserve">.  </w:t>
            </w:r>
            <w:r w:rsidRPr="00144051">
              <w:rPr>
                <w:color w:val="000000" w:themeColor="text1"/>
              </w:rPr>
              <w:t>No payment shall be due if the calculation yields a negative number</w:t>
            </w:r>
            <w:r>
              <w:rPr>
                <w:color w:val="000000" w:themeColor="text1"/>
              </w:rPr>
              <w:t>.</w:t>
            </w:r>
          </w:p>
        </w:tc>
      </w:tr>
      <w:tr w:rsidR="00C2274B" w:rsidRPr="006B5B11" w14:paraId="18F8C5E2" w14:textId="77777777" w:rsidTr="0080155D">
        <w:tc>
          <w:tcPr>
            <w:tcW w:w="3055" w:type="dxa"/>
          </w:tcPr>
          <w:p w14:paraId="3AA8600C" w14:textId="03BAEBA3" w:rsidR="00C2274B" w:rsidRPr="006B5B11" w:rsidDel="00C2274B" w:rsidRDefault="00C2274B" w:rsidP="000469C3">
            <w:pPr>
              <w:spacing w:before="120"/>
              <w:rPr>
                <w:b/>
              </w:rPr>
            </w:pPr>
            <w:r w:rsidRPr="006C0CA8">
              <w:rPr>
                <w:b/>
              </w:rPr>
              <w:lastRenderedPageBreak/>
              <w:t>Performance</w:t>
            </w:r>
            <w:r>
              <w:rPr>
                <w:b/>
              </w:rPr>
              <w:t xml:space="preserve"> G</w:t>
            </w:r>
            <w:r w:rsidRPr="006C0CA8">
              <w:rPr>
                <w:b/>
              </w:rPr>
              <w:t>uarantee</w:t>
            </w:r>
            <w:r>
              <w:rPr>
                <w:b/>
              </w:rPr>
              <w:t>:</w:t>
            </w:r>
          </w:p>
        </w:tc>
        <w:tc>
          <w:tcPr>
            <w:tcW w:w="6295" w:type="dxa"/>
          </w:tcPr>
          <w:p w14:paraId="4417B4C5" w14:textId="77777777" w:rsidR="00D537D1" w:rsidRDefault="00D537D1" w:rsidP="00D537D1">
            <w:pPr>
              <w:pStyle w:val="Heading4"/>
              <w:numPr>
                <w:ilvl w:val="0"/>
                <w:numId w:val="0"/>
              </w:numPr>
              <w:ind w:right="-28"/>
              <w:outlineLvl w:val="3"/>
              <w:rPr>
                <w:color w:val="000000" w:themeColor="text1"/>
                <w:szCs w:val="24"/>
              </w:rPr>
            </w:pPr>
            <w:r>
              <w:rPr>
                <w:color w:val="000000" w:themeColor="text1"/>
                <w:szCs w:val="24"/>
              </w:rPr>
              <w:t>T</w:t>
            </w:r>
            <w:r w:rsidRPr="00C469BC">
              <w:rPr>
                <w:color w:val="000000" w:themeColor="text1"/>
                <w:szCs w:val="24"/>
              </w:rPr>
              <w:t>he occurrence of any of the following</w:t>
            </w:r>
            <w:r>
              <w:rPr>
                <w:color w:val="000000" w:themeColor="text1"/>
                <w:szCs w:val="24"/>
              </w:rPr>
              <w:t xml:space="preserve"> shall constitute an Event of Default:</w:t>
            </w:r>
          </w:p>
          <w:p w14:paraId="0FBF316F" w14:textId="77777777" w:rsidR="00D537D1" w:rsidRPr="00D537D1" w:rsidRDefault="00D537D1" w:rsidP="00D537D1">
            <w:pPr>
              <w:pStyle w:val="Heading4"/>
              <w:numPr>
                <w:ilvl w:val="0"/>
                <w:numId w:val="49"/>
              </w:numPr>
              <w:ind w:right="-28"/>
              <w:outlineLvl w:val="3"/>
              <w:rPr>
                <w:color w:val="000000" w:themeColor="text1"/>
              </w:rPr>
            </w:pPr>
            <w:r w:rsidRPr="00D537D1">
              <w:t xml:space="preserve">if, beginning in the second Contract Year, the Adjusted Energy Production amount is not at least fifty percent (50%) of the Expected Energy amount in any Contract Year; </w:t>
            </w:r>
            <w:r>
              <w:t>and</w:t>
            </w:r>
          </w:p>
          <w:p w14:paraId="68798539" w14:textId="0226751C" w:rsidR="00C2274B" w:rsidRPr="006B5B11" w:rsidDel="00C2274B" w:rsidRDefault="00D537D1" w:rsidP="00D537D1">
            <w:pPr>
              <w:pStyle w:val="Heading4"/>
              <w:numPr>
                <w:ilvl w:val="0"/>
                <w:numId w:val="49"/>
              </w:numPr>
              <w:ind w:right="-28"/>
              <w:outlineLvl w:val="3"/>
            </w:pPr>
            <w:r w:rsidRPr="00D537D1">
              <w:t>if, in any two (2) consecutive Contract Years during the Delivery Term, the Adjusted Energy Production amount is not at least sixty-five percent (65%) of the Expected Energy amount in each Contract Year</w:t>
            </w:r>
            <w:r>
              <w:t>.</w:t>
            </w:r>
          </w:p>
        </w:tc>
      </w:tr>
      <w:tr w:rsidR="00C2274B" w:rsidRPr="006B5B11" w14:paraId="392BD138" w14:textId="77777777" w:rsidTr="0080155D">
        <w:tc>
          <w:tcPr>
            <w:tcW w:w="3055" w:type="dxa"/>
          </w:tcPr>
          <w:p w14:paraId="223E738A" w14:textId="210D8897" w:rsidR="00C2274B" w:rsidRPr="006B5B11" w:rsidDel="00C2274B" w:rsidRDefault="00C2274B" w:rsidP="000469C3">
            <w:pPr>
              <w:spacing w:before="120"/>
              <w:rPr>
                <w:b/>
              </w:rPr>
            </w:pPr>
            <w:r w:rsidRPr="006C0CA8">
              <w:rPr>
                <w:b/>
              </w:rPr>
              <w:t>Excess Energy</w:t>
            </w:r>
            <w:r>
              <w:rPr>
                <w:b/>
              </w:rPr>
              <w:t>:</w:t>
            </w:r>
          </w:p>
        </w:tc>
        <w:tc>
          <w:tcPr>
            <w:tcW w:w="6295" w:type="dxa"/>
          </w:tcPr>
          <w:p w14:paraId="50E3406F" w14:textId="644E2381" w:rsidR="006A6C6F" w:rsidRPr="006B5B11" w:rsidDel="00C2274B" w:rsidRDefault="006A6C6F" w:rsidP="0098039F">
            <w:pPr>
              <w:spacing w:before="120" w:after="120"/>
              <w:jc w:val="both"/>
            </w:pPr>
            <w:r w:rsidRPr="00143339">
              <w:t>If during any settlement interval, the Delivered Energy is greater than the Guaranteed Capacity (“</w:t>
            </w:r>
            <w:r w:rsidRPr="00143339">
              <w:rPr>
                <w:b/>
                <w:u w:val="single"/>
              </w:rPr>
              <w:t>Excess Energy</w:t>
            </w:r>
            <w:r w:rsidRPr="00143339">
              <w:t xml:space="preserve">”), then the price paid by Buyer for the Excess Energy shall be </w:t>
            </w:r>
            <w:r w:rsidR="00472CD8">
              <w:t>z</w:t>
            </w:r>
            <w:r w:rsidRPr="00143339">
              <w:t>ero dollars ($0). If the real-time locational marginal price (as defined by the CAISO) at the Delivery Point is negative for a settlement interval with Excess Energy, Seller shall pay Buyer an amount equal to the product of (i) the absolute value of the Delivery Point LMP, and (ii) Excess Energy.</w:t>
            </w:r>
          </w:p>
        </w:tc>
      </w:tr>
      <w:tr w:rsidR="00C2274B" w:rsidRPr="006B5B11" w14:paraId="6FD37098" w14:textId="77777777" w:rsidTr="0080155D">
        <w:tc>
          <w:tcPr>
            <w:tcW w:w="3055" w:type="dxa"/>
          </w:tcPr>
          <w:p w14:paraId="4C6AC166" w14:textId="1A853EAB" w:rsidR="00C2274B" w:rsidRPr="006B5B11" w:rsidDel="00C2274B" w:rsidRDefault="00C2274B" w:rsidP="000469C3">
            <w:pPr>
              <w:spacing w:before="120"/>
              <w:rPr>
                <w:b/>
              </w:rPr>
            </w:pPr>
            <w:r w:rsidRPr="006C0CA8">
              <w:rPr>
                <w:b/>
              </w:rPr>
              <w:t>Annual Excess Energy</w:t>
            </w:r>
            <w:r>
              <w:rPr>
                <w:b/>
              </w:rPr>
              <w:t>:</w:t>
            </w:r>
          </w:p>
        </w:tc>
        <w:tc>
          <w:tcPr>
            <w:tcW w:w="6295" w:type="dxa"/>
          </w:tcPr>
          <w:p w14:paraId="1FC497B4" w14:textId="23171523" w:rsidR="00E63FA0" w:rsidRDefault="00E63FA0" w:rsidP="0098039F">
            <w:pPr>
              <w:spacing w:before="120" w:after="120"/>
              <w:jc w:val="both"/>
            </w:pPr>
            <w:r w:rsidRPr="00DF7E59">
              <w:rPr>
                <w:color w:val="000000" w:themeColor="text1"/>
              </w:rPr>
              <w:t xml:space="preserve">If, at any point in any Contract Year, the amount of Adjusted Facility Energy plus the amount of Deemed Delivered Energy </w:t>
            </w:r>
            <w:r>
              <w:t>above the Curtailment Cap</w:t>
            </w:r>
            <w:r w:rsidRPr="00DF7E59">
              <w:rPr>
                <w:color w:val="000000" w:themeColor="text1"/>
              </w:rPr>
              <w:t xml:space="preserve"> exceeds one hundred and five percent (105%) of the Expected Energy for such Contract Year, the price to be paid for additional Adjusted Facility Energy or Deemed Delivered Energy </w:t>
            </w:r>
            <w:r>
              <w:t xml:space="preserve">shall be equal to the lesser of (a) the Delivery Point LMP for the Real Time Market for the applicable Settlement Interval or (b) fifty percent (50%) of the </w:t>
            </w:r>
            <w:r w:rsidR="00687F3B">
              <w:t>Contract Price</w:t>
            </w:r>
            <w:r>
              <w:t>, but not less than $0.00/MWh.</w:t>
            </w:r>
          </w:p>
          <w:p w14:paraId="368A39AD" w14:textId="4D593CF8" w:rsidR="006A6C6F" w:rsidRPr="006B5B11" w:rsidDel="00C2274B" w:rsidRDefault="00E63FA0" w:rsidP="0098039F">
            <w:pPr>
              <w:spacing w:before="120" w:after="120"/>
              <w:jc w:val="both"/>
            </w:pPr>
            <w:r w:rsidRPr="00DF7E59">
              <w:rPr>
                <w:color w:val="000000" w:themeColor="text1"/>
              </w:rPr>
              <w:t xml:space="preserve">If, at any point in any Contract Year, the amount of Adjusted Facility Energy plus the amount of Deemed Delivered Energy </w:t>
            </w:r>
            <w:r>
              <w:t>above the Curtailment Cap</w:t>
            </w:r>
            <w:r w:rsidRPr="00DF7E59">
              <w:rPr>
                <w:color w:val="000000" w:themeColor="text1"/>
              </w:rPr>
              <w:t xml:space="preserve"> exceeds one hundred and </w:t>
            </w:r>
            <w:r>
              <w:rPr>
                <w:color w:val="000000" w:themeColor="text1"/>
              </w:rPr>
              <w:t>fifteen</w:t>
            </w:r>
            <w:r w:rsidRPr="00DF7E59">
              <w:rPr>
                <w:color w:val="000000" w:themeColor="text1"/>
              </w:rPr>
              <w:t xml:space="preserve"> percent (1</w:t>
            </w:r>
            <w:r>
              <w:rPr>
                <w:color w:val="000000" w:themeColor="text1"/>
              </w:rPr>
              <w:t>1</w:t>
            </w:r>
            <w:r w:rsidRPr="00DF7E59">
              <w:rPr>
                <w:color w:val="000000" w:themeColor="text1"/>
              </w:rPr>
              <w:t xml:space="preserve">5%) of the Expected Energy for such Contract Year, the price to be paid for additional Adjusted Facility Energy or Deemed Delivered Energy </w:t>
            </w:r>
            <w:r>
              <w:t>shall be equal to $0.00/MWh.</w:t>
            </w:r>
          </w:p>
        </w:tc>
      </w:tr>
      <w:tr w:rsidR="00C2274B" w:rsidRPr="006B5B11" w14:paraId="5528634D" w14:textId="77777777" w:rsidTr="0080155D">
        <w:tc>
          <w:tcPr>
            <w:tcW w:w="3055" w:type="dxa"/>
          </w:tcPr>
          <w:p w14:paraId="03C12832" w14:textId="69CEB4BC" w:rsidR="00C2274B" w:rsidRPr="006B5B11" w:rsidDel="00C2274B" w:rsidRDefault="00C2274B" w:rsidP="000469C3">
            <w:pPr>
              <w:spacing w:before="120"/>
              <w:rPr>
                <w:b/>
              </w:rPr>
            </w:pPr>
            <w:r w:rsidRPr="006C0CA8">
              <w:rPr>
                <w:b/>
              </w:rPr>
              <w:t>Curtailment</w:t>
            </w:r>
            <w:r>
              <w:rPr>
                <w:b/>
              </w:rPr>
              <w:t>:</w:t>
            </w:r>
          </w:p>
        </w:tc>
        <w:tc>
          <w:tcPr>
            <w:tcW w:w="6295" w:type="dxa"/>
          </w:tcPr>
          <w:p w14:paraId="46722886" w14:textId="72EE1DCB" w:rsidR="00C2274B" w:rsidRPr="00F925F4" w:rsidRDefault="00C2274B" w:rsidP="00C2274B">
            <w:pPr>
              <w:spacing w:before="120" w:after="120"/>
              <w:jc w:val="both"/>
            </w:pPr>
            <w:r w:rsidRPr="00F925F4">
              <w:t>In the event the Facility is curtailed due to a</w:t>
            </w:r>
            <w:r w:rsidR="004A42BA" w:rsidRPr="00F925F4">
              <w:t xml:space="preserve"> System</w:t>
            </w:r>
            <w:r w:rsidRPr="00F925F4">
              <w:t xml:space="preserve"> Emergency (to be defined in the </w:t>
            </w:r>
            <w:r w:rsidR="004A42BA" w:rsidRPr="00F925F4">
              <w:t>PPA</w:t>
            </w:r>
            <w:r w:rsidRPr="00F925F4">
              <w:t>), Force Majeure, by the CAISO or the transmission owner, or for any reason other than Buyer</w:t>
            </w:r>
            <w:r w:rsidR="00687F3B" w:rsidRPr="00F925F4">
              <w:t>’s</w:t>
            </w:r>
            <w:r w:rsidRPr="00F925F4">
              <w:t xml:space="preserve"> sole action or inaction, Seller shall not be liable for failure to deliver such curtailed energy and Buyer shall not be obligated to pay for such curtailed energy.</w:t>
            </w:r>
          </w:p>
          <w:p w14:paraId="248974B9" w14:textId="5EA0FF66" w:rsidR="00C2274B" w:rsidRPr="00F925F4" w:rsidRDefault="004A42BA" w:rsidP="00C2274B">
            <w:pPr>
              <w:spacing w:before="120" w:after="120"/>
              <w:jc w:val="both"/>
              <w:rPr>
                <w:bCs/>
                <w:iCs/>
              </w:rPr>
            </w:pPr>
            <w:r w:rsidRPr="00F925F4">
              <w:rPr>
                <w:color w:val="000000" w:themeColor="text1"/>
              </w:rPr>
              <w:lastRenderedPageBreak/>
              <w:t>Buyer shall have the right to order Seller to curtail deliveries of Facility Energy, provided that Buyer shall pay Seller for all Deemed Delivered Energy associated with such Buyer</w:t>
            </w:r>
            <w:r w:rsidR="002B3AD3" w:rsidRPr="00F925F4">
              <w:rPr>
                <w:color w:val="000000" w:themeColor="text1"/>
              </w:rPr>
              <w:t>-directed</w:t>
            </w:r>
            <w:r w:rsidRPr="00F925F4">
              <w:rPr>
                <w:color w:val="000000" w:themeColor="text1"/>
              </w:rPr>
              <w:t xml:space="preserve"> curtailments in excess of the Curtailment Cap at the </w:t>
            </w:r>
            <w:r w:rsidR="00687F3B" w:rsidRPr="00F925F4">
              <w:rPr>
                <w:color w:val="000000" w:themeColor="text1"/>
              </w:rPr>
              <w:t>Contract Price</w:t>
            </w:r>
            <w:r w:rsidRPr="00F925F4">
              <w:rPr>
                <w:color w:val="000000" w:themeColor="text1"/>
              </w:rPr>
              <w:t>, subject to the Annual Excess Energy provisions</w:t>
            </w:r>
            <w:r w:rsidRPr="00F925F4">
              <w:rPr>
                <w:bCs/>
                <w:iCs/>
              </w:rPr>
              <w:t>.</w:t>
            </w:r>
            <w:r w:rsidRPr="00F925F4" w:rsidDel="004A42BA">
              <w:rPr>
                <w:bCs/>
                <w:iCs/>
              </w:rPr>
              <w:t xml:space="preserve"> </w:t>
            </w:r>
            <w:r w:rsidR="00C2274B" w:rsidRPr="00F925F4">
              <w:rPr>
                <w:bCs/>
                <w:iCs/>
              </w:rPr>
              <w:t xml:space="preserve"> </w:t>
            </w:r>
          </w:p>
          <w:p w14:paraId="2ECA64AD" w14:textId="69C99803" w:rsidR="00C2274B" w:rsidRPr="00F925F4" w:rsidRDefault="00E63FA0" w:rsidP="004A42BA">
            <w:pPr>
              <w:spacing w:before="120" w:after="120"/>
              <w:jc w:val="both"/>
              <w:rPr>
                <w:color w:val="000000" w:themeColor="text1"/>
              </w:rPr>
            </w:pPr>
            <w:r w:rsidRPr="00F925F4">
              <w:rPr>
                <w:color w:val="000000" w:themeColor="text1"/>
              </w:rPr>
              <w:t>“</w:t>
            </w:r>
            <w:r w:rsidRPr="00F925F4">
              <w:rPr>
                <w:b/>
                <w:color w:val="000000" w:themeColor="text1"/>
                <w:u w:val="single"/>
              </w:rPr>
              <w:t>Curtailment Cap</w:t>
            </w:r>
            <w:r w:rsidRPr="00F925F4">
              <w:rPr>
                <w:color w:val="000000" w:themeColor="text1"/>
              </w:rPr>
              <w:t>” is the yearly quantity per Contract Year, in MWh, equal to fifty (50) hours multiplied by the Installed Capacity</w:t>
            </w:r>
            <w:r w:rsidR="004A42BA" w:rsidRPr="00F925F4">
              <w:rPr>
                <w:color w:val="000000" w:themeColor="text1"/>
              </w:rPr>
              <w:t>.</w:t>
            </w:r>
          </w:p>
          <w:p w14:paraId="242FB466" w14:textId="2981D8DC" w:rsidR="002B3AD3" w:rsidRPr="006B5B11" w:rsidDel="00C2274B" w:rsidRDefault="002B3AD3" w:rsidP="004A42BA">
            <w:pPr>
              <w:spacing w:before="120" w:after="120"/>
              <w:jc w:val="both"/>
            </w:pPr>
            <w:r w:rsidRPr="00F925F4">
              <w:rPr>
                <w:color w:val="000000" w:themeColor="text1"/>
              </w:rPr>
              <w:t>“</w:t>
            </w:r>
            <w:r w:rsidRPr="00F925F4">
              <w:rPr>
                <w:b/>
                <w:color w:val="000000" w:themeColor="text1"/>
                <w:u w:val="single"/>
              </w:rPr>
              <w:t>Deemed Delivered Energy</w:t>
            </w:r>
            <w:r w:rsidRPr="00F925F4">
              <w:rPr>
                <w:color w:val="000000" w:themeColor="text1"/>
              </w:rPr>
              <w:t xml:space="preserve">” means the amount of Energy expressed in MWh that the </w:t>
            </w:r>
            <w:r w:rsidR="00DB5202" w:rsidRPr="00F925F4">
              <w:rPr>
                <w:color w:val="000000" w:themeColor="text1"/>
              </w:rPr>
              <w:t>Facility</w:t>
            </w:r>
            <w:r w:rsidRPr="00F925F4">
              <w:rPr>
                <w:color w:val="000000" w:themeColor="text1"/>
              </w:rPr>
              <w:t xml:space="preserve"> would have produced and delivered to </w:t>
            </w:r>
            <w:r w:rsidRPr="00F925F4">
              <w:rPr>
                <w:rFonts w:eastAsia="SimSun"/>
                <w:color w:val="000000" w:themeColor="text1"/>
                <w:w w:val="0"/>
              </w:rPr>
              <w:t>the Delivery Point</w:t>
            </w:r>
            <w:r w:rsidRPr="00F925F4">
              <w:rPr>
                <w:color w:val="000000" w:themeColor="text1"/>
              </w:rPr>
              <w:t xml:space="preserve">, but that is not produced by the </w:t>
            </w:r>
            <w:r w:rsidR="00DB5202" w:rsidRPr="00F925F4">
              <w:rPr>
                <w:color w:val="000000" w:themeColor="text1"/>
              </w:rPr>
              <w:t>Facility</w:t>
            </w:r>
            <w:r w:rsidRPr="00F925F4">
              <w:rPr>
                <w:color w:val="000000" w:themeColor="text1"/>
              </w:rPr>
              <w:t xml:space="preserve"> due to a Buyer-directed curtailment, which amount shall be calculated using an industry-standard methodology agreed to by Buyer and Seller that utilizes meteorological conditions on Site as input for the period of time during such Buyer-directed curtailments.</w:t>
            </w:r>
          </w:p>
        </w:tc>
      </w:tr>
      <w:tr w:rsidR="00C2274B" w:rsidRPr="006B5B11" w14:paraId="75D8DE72" w14:textId="77777777" w:rsidTr="0080155D">
        <w:tc>
          <w:tcPr>
            <w:tcW w:w="3055" w:type="dxa"/>
          </w:tcPr>
          <w:p w14:paraId="7580F5C1" w14:textId="2F49636D" w:rsidR="00C2274B" w:rsidRPr="006B5B11" w:rsidDel="00C2274B" w:rsidRDefault="00C2274B" w:rsidP="000469C3">
            <w:pPr>
              <w:spacing w:before="120"/>
              <w:rPr>
                <w:b/>
              </w:rPr>
            </w:pPr>
            <w:r w:rsidRPr="006C0CA8">
              <w:rPr>
                <w:b/>
              </w:rPr>
              <w:lastRenderedPageBreak/>
              <w:t>REC Tracking System</w:t>
            </w:r>
            <w:r>
              <w:rPr>
                <w:b/>
              </w:rPr>
              <w:t>:</w:t>
            </w:r>
          </w:p>
        </w:tc>
        <w:tc>
          <w:tcPr>
            <w:tcW w:w="6295" w:type="dxa"/>
          </w:tcPr>
          <w:p w14:paraId="28F871B2" w14:textId="7C820A42" w:rsidR="00A67EB7" w:rsidRPr="00143339" w:rsidRDefault="00A67EB7" w:rsidP="00A67EB7">
            <w:pPr>
              <w:spacing w:before="120" w:after="120"/>
              <w:jc w:val="both"/>
            </w:pPr>
            <w:r w:rsidRPr="00143339">
              <w:t>Seller shall transfer RECs associated with the generation from the Facility for each month via WREGIS pursuant to the timelines in WREGIS Operating Rules.</w:t>
            </w:r>
          </w:p>
          <w:p w14:paraId="6F60F661" w14:textId="5E2E8C02" w:rsidR="00C2274B" w:rsidRPr="006B5B11" w:rsidDel="00C2274B" w:rsidRDefault="00A67EB7" w:rsidP="00A67EB7">
            <w:pPr>
              <w:spacing w:before="120" w:after="120"/>
              <w:jc w:val="both"/>
            </w:pPr>
            <w:r w:rsidRPr="00143339">
              <w:t>Each party shall be responsible for setting up an account with WREGIS.</w:t>
            </w:r>
          </w:p>
        </w:tc>
      </w:tr>
      <w:tr w:rsidR="00C2274B" w:rsidRPr="006B5B11" w14:paraId="03F4F7B8" w14:textId="77777777" w:rsidTr="0080155D">
        <w:tc>
          <w:tcPr>
            <w:tcW w:w="3055" w:type="dxa"/>
          </w:tcPr>
          <w:p w14:paraId="5DC24454" w14:textId="5935593E" w:rsidR="00C2274B" w:rsidRPr="006B5B11" w:rsidDel="00C2274B" w:rsidRDefault="00C2274B" w:rsidP="00C2274B">
            <w:pPr>
              <w:spacing w:before="120"/>
              <w:rPr>
                <w:b/>
              </w:rPr>
            </w:pPr>
            <w:r w:rsidRPr="006C0CA8">
              <w:rPr>
                <w:b/>
              </w:rPr>
              <w:t>Progress Reporting</w:t>
            </w:r>
            <w:r>
              <w:rPr>
                <w:b/>
              </w:rPr>
              <w:t>:</w:t>
            </w:r>
          </w:p>
        </w:tc>
        <w:tc>
          <w:tcPr>
            <w:tcW w:w="6295" w:type="dxa"/>
          </w:tcPr>
          <w:p w14:paraId="1E26E4C5" w14:textId="77777777" w:rsidR="00A67EB7" w:rsidRDefault="00A67EB7" w:rsidP="00A67EB7">
            <w:pPr>
              <w:spacing w:before="120" w:after="120"/>
              <w:jc w:val="both"/>
            </w:pPr>
            <w:r w:rsidRPr="00143339">
              <w:t xml:space="preserve">After execution of the PPA, Seller shall provide a monthly report to Buyer that (a) describes the progress towards meeting the </w:t>
            </w:r>
            <w:r>
              <w:t>Facility De</w:t>
            </w:r>
            <w:r w:rsidRPr="00143339">
              <w:t xml:space="preserve">velopment Milestones; (b) identifies any missed </w:t>
            </w:r>
            <w:r>
              <w:t>Facility</w:t>
            </w:r>
            <w:r w:rsidRPr="00143339">
              <w:t xml:space="preserve"> Development Milestones, </w:t>
            </w:r>
            <w:r w:rsidRPr="00143339">
              <w:rPr>
                <w:rFonts w:eastAsia="Batang"/>
                <w:color w:val="000000"/>
                <w:w w:val="0"/>
              </w:rPr>
              <w:t xml:space="preserve">including the cause of the delay; and (c) provides a </w:t>
            </w:r>
            <w:r w:rsidRPr="00143339">
              <w:t xml:space="preserve">detailed description of Seller’s corrective actions to achieve the missed </w:t>
            </w:r>
            <w:r>
              <w:t>Facility</w:t>
            </w:r>
            <w:r w:rsidRPr="00143339">
              <w:t xml:space="preserve"> Development Milestones and all subsequent </w:t>
            </w:r>
            <w:r>
              <w:t>Facility</w:t>
            </w:r>
            <w:r w:rsidRPr="00143339">
              <w:t xml:space="preserve"> Development Milestones by the Guaranteed Commercial Operation Date. </w:t>
            </w:r>
          </w:p>
          <w:p w14:paraId="00C440C2" w14:textId="09C021FF" w:rsidR="00C2274B" w:rsidRPr="006B5B11" w:rsidDel="00C2274B" w:rsidRDefault="00A67EB7" w:rsidP="00A67EB7">
            <w:pPr>
              <w:spacing w:before="120" w:after="120"/>
              <w:jc w:val="both"/>
            </w:pPr>
            <w:r w:rsidRPr="00143339">
              <w:t xml:space="preserve">In the event Seller misses any </w:t>
            </w:r>
            <w:r w:rsidR="00A325F1">
              <w:t>Facility</w:t>
            </w:r>
            <w:r w:rsidRPr="00143339">
              <w:t xml:space="preserve"> Development Milestones and cannot reasonably demonstrate a plan for completing the Facility by the Guaranteed COD, Buyer shall have the right to terminate the PPA and retain the Development Security as damages, in addition to any other remedies it may have at law or equity.</w:t>
            </w:r>
          </w:p>
        </w:tc>
      </w:tr>
      <w:tr w:rsidR="00C2274B" w:rsidRPr="006B5B11" w14:paraId="24CE4132" w14:textId="77777777" w:rsidTr="0080155D">
        <w:tc>
          <w:tcPr>
            <w:tcW w:w="3055" w:type="dxa"/>
          </w:tcPr>
          <w:p w14:paraId="19249F29" w14:textId="6D9C9587" w:rsidR="00C2274B" w:rsidRPr="006B5B11" w:rsidDel="00C2274B" w:rsidRDefault="00C2274B" w:rsidP="00C2274B">
            <w:pPr>
              <w:spacing w:before="120"/>
              <w:rPr>
                <w:b/>
              </w:rPr>
            </w:pPr>
            <w:r>
              <w:rPr>
                <w:b/>
              </w:rPr>
              <w:t>R</w:t>
            </w:r>
            <w:r w:rsidR="002C23F0">
              <w:rPr>
                <w:b/>
              </w:rPr>
              <w:t>esource Adequacy Failure:</w:t>
            </w:r>
          </w:p>
        </w:tc>
        <w:tc>
          <w:tcPr>
            <w:tcW w:w="6295" w:type="dxa"/>
          </w:tcPr>
          <w:p w14:paraId="2CFA990D" w14:textId="2565574B" w:rsidR="00C2274B" w:rsidRPr="006B5B11" w:rsidDel="00C2274B" w:rsidRDefault="002C23F0" w:rsidP="00C2274B">
            <w:pPr>
              <w:spacing w:before="120" w:after="120"/>
              <w:jc w:val="both"/>
            </w:pPr>
            <w:r w:rsidRPr="008527A7">
              <w:rPr>
                <w:color w:val="000000" w:themeColor="text1"/>
              </w:rPr>
              <w:t>For each RA Shortfall Month</w:t>
            </w:r>
            <w:r>
              <w:rPr>
                <w:color w:val="000000" w:themeColor="text1"/>
              </w:rPr>
              <w:t xml:space="preserve"> occurring after the RA Guarantee Date</w:t>
            </w:r>
            <w:r w:rsidRPr="008527A7">
              <w:rPr>
                <w:color w:val="000000" w:themeColor="text1"/>
              </w:rPr>
              <w:t xml:space="preserve">, </w:t>
            </w:r>
            <w:r w:rsidR="00A325F1" w:rsidRPr="008527A7">
              <w:rPr>
                <w:color w:val="000000" w:themeColor="text1"/>
              </w:rPr>
              <w:t>Seller shall pay to Buyer an amount (the “</w:t>
            </w:r>
            <w:r w:rsidR="00A325F1" w:rsidRPr="008527A7">
              <w:rPr>
                <w:b/>
                <w:color w:val="000000" w:themeColor="text1"/>
                <w:u w:val="single"/>
              </w:rPr>
              <w:t>RA Deficiency Amount</w:t>
            </w:r>
            <w:r w:rsidR="00A325F1" w:rsidRPr="008527A7">
              <w:rPr>
                <w:color w:val="000000" w:themeColor="text1"/>
              </w:rPr>
              <w:t xml:space="preserve">”) equal to the product of the difference, expressed in kW, of </w:t>
            </w:r>
            <w:r w:rsidR="008233E3" w:rsidRPr="008527A7">
              <w:rPr>
                <w:color w:val="000000" w:themeColor="text1"/>
              </w:rPr>
              <w:t xml:space="preserve">(i) the Qualifying Capacity of the Facility for such month, minus (ii) the Net </w:t>
            </w:r>
            <w:r w:rsidR="008233E3" w:rsidRPr="000C6054">
              <w:rPr>
                <w:color w:val="000000" w:themeColor="text1"/>
              </w:rPr>
              <w:t xml:space="preserve">Qualifying Capacity of the Facility </w:t>
            </w:r>
            <w:r w:rsidR="008233E3" w:rsidRPr="000C6054">
              <w:rPr>
                <w:color w:val="000000" w:themeColor="text1"/>
              </w:rPr>
              <w:lastRenderedPageBreak/>
              <w:t>for such month, including any adjustments for unforced capacity (UCAP) or similar adjustments, however described</w:t>
            </w:r>
            <w:r w:rsidR="00A325F1" w:rsidRPr="000C6054">
              <w:rPr>
                <w:color w:val="000000" w:themeColor="text1"/>
              </w:rPr>
              <w:t xml:space="preserve">, minus (ii) the Net Qualifying Capacity of the </w:t>
            </w:r>
            <w:r w:rsidR="00DB5202" w:rsidRPr="000C6054">
              <w:rPr>
                <w:color w:val="000000" w:themeColor="text1"/>
              </w:rPr>
              <w:t>Facility</w:t>
            </w:r>
            <w:r w:rsidR="00A325F1" w:rsidRPr="000C6054">
              <w:rPr>
                <w:color w:val="000000" w:themeColor="text1"/>
              </w:rPr>
              <w:t xml:space="preserve"> for such month, multiplied by the CPM Soft Offer Cap as listed in Section 43A.4.1.1 of the CAISO Tariff (or its successor); provided that Seller may, as an alternative to paying RA Deficiency Amounts, provide Replacement RA in the amount of (X) the Qualifying Capacity of the </w:t>
            </w:r>
            <w:r w:rsidR="00DB5202" w:rsidRPr="000C6054">
              <w:rPr>
                <w:color w:val="000000" w:themeColor="text1"/>
              </w:rPr>
              <w:t>Facility</w:t>
            </w:r>
            <w:r w:rsidR="00A325F1" w:rsidRPr="000C6054">
              <w:rPr>
                <w:color w:val="000000" w:themeColor="text1"/>
              </w:rPr>
              <w:t xml:space="preserve"> with respect to such month, minus (Y) the Net Qualifying Capacity of the </w:t>
            </w:r>
            <w:r w:rsidR="00DB5202" w:rsidRPr="000C6054">
              <w:rPr>
                <w:color w:val="000000" w:themeColor="text1"/>
              </w:rPr>
              <w:t>Facility</w:t>
            </w:r>
            <w:r w:rsidR="00A325F1" w:rsidRPr="000C6054">
              <w:rPr>
                <w:color w:val="000000" w:themeColor="text1"/>
              </w:rPr>
              <w:t xml:space="preserve"> with respect to such month, provided that any Replacement RA capacity</w:t>
            </w:r>
            <w:r w:rsidR="00A325F1" w:rsidRPr="008527A7">
              <w:rPr>
                <w:color w:val="000000" w:themeColor="text1"/>
              </w:rPr>
              <w:t xml:space="preserve"> is communicated by Seller to Buyer with Replacement RA product information in a written notice </w:t>
            </w:r>
            <w:r w:rsidR="00A325F1">
              <w:rPr>
                <w:color w:val="000000" w:themeColor="text1"/>
              </w:rPr>
              <w:t>to Buyer</w:t>
            </w:r>
            <w:r w:rsidR="00A325F1" w:rsidRPr="008527A7">
              <w:rPr>
                <w:color w:val="000000" w:themeColor="text1"/>
              </w:rPr>
              <w:t xml:space="preserve"> at least seventy-five (75) </w:t>
            </w:r>
            <w:r w:rsidR="00A325F1">
              <w:rPr>
                <w:color w:val="000000" w:themeColor="text1"/>
              </w:rPr>
              <w:t>d</w:t>
            </w:r>
            <w:r w:rsidR="00A325F1" w:rsidRPr="008527A7">
              <w:rPr>
                <w:color w:val="000000" w:themeColor="text1"/>
              </w:rPr>
              <w:t>ays before the applicable CPUC operating month for the purpose of monthly RA reporting</w:t>
            </w:r>
            <w:r w:rsidR="00A325F1">
              <w:rPr>
                <w:color w:val="000000" w:themeColor="text1"/>
              </w:rPr>
              <w:t xml:space="preserve">.  </w:t>
            </w:r>
          </w:p>
        </w:tc>
      </w:tr>
      <w:tr w:rsidR="00C2274B" w:rsidRPr="006B5B11" w14:paraId="13D23F9F" w14:textId="77777777" w:rsidTr="0080155D">
        <w:tc>
          <w:tcPr>
            <w:tcW w:w="3055" w:type="dxa"/>
          </w:tcPr>
          <w:p w14:paraId="0EB4EB7D" w14:textId="4166F3DE" w:rsidR="00C2274B" w:rsidRPr="006B5B11" w:rsidRDefault="00C2274B" w:rsidP="00C2274B">
            <w:pPr>
              <w:spacing w:before="120"/>
              <w:rPr>
                <w:b/>
              </w:rPr>
            </w:pPr>
            <w:r w:rsidRPr="006B5B11">
              <w:rPr>
                <w:b/>
              </w:rPr>
              <w:lastRenderedPageBreak/>
              <w:t>Station Use:</w:t>
            </w:r>
          </w:p>
        </w:tc>
        <w:tc>
          <w:tcPr>
            <w:tcW w:w="6295" w:type="dxa"/>
          </w:tcPr>
          <w:p w14:paraId="4DBAD6E0" w14:textId="7010AA36" w:rsidR="00C2274B" w:rsidRPr="006B5B11" w:rsidRDefault="00C2274B" w:rsidP="00C2274B">
            <w:pPr>
              <w:spacing w:before="120" w:after="120"/>
              <w:jc w:val="both"/>
            </w:pPr>
            <w:r w:rsidRPr="006B5B11">
              <w:t xml:space="preserve">Buyer will not be responsible for Station Use and Station Use will not be provided by the </w:t>
            </w:r>
            <w:r w:rsidR="00DB5202">
              <w:t>Facility</w:t>
            </w:r>
            <w:r w:rsidRPr="006B5B11">
              <w:t xml:space="preserve">. </w:t>
            </w:r>
          </w:p>
        </w:tc>
      </w:tr>
      <w:tr w:rsidR="00C2274B" w:rsidRPr="006B5B11" w14:paraId="5B38B6DB" w14:textId="77777777" w:rsidTr="0080155D">
        <w:tc>
          <w:tcPr>
            <w:tcW w:w="3055" w:type="dxa"/>
          </w:tcPr>
          <w:p w14:paraId="10B264CD" w14:textId="22EF08E0" w:rsidR="00C2274B" w:rsidRPr="006B5B11" w:rsidRDefault="00C2274B" w:rsidP="00C2274B">
            <w:pPr>
              <w:spacing w:before="120"/>
              <w:rPr>
                <w:b/>
              </w:rPr>
            </w:pPr>
            <w:r w:rsidRPr="006B5B11">
              <w:rPr>
                <w:b/>
              </w:rPr>
              <w:t xml:space="preserve">Expected Construction Start Date: </w:t>
            </w:r>
          </w:p>
        </w:tc>
        <w:tc>
          <w:tcPr>
            <w:tcW w:w="6295" w:type="dxa"/>
          </w:tcPr>
          <w:p w14:paraId="26D1D72E" w14:textId="4734431B" w:rsidR="00C2274B" w:rsidRPr="006B5B11" w:rsidRDefault="00C2274B" w:rsidP="00C2274B">
            <w:pPr>
              <w:spacing w:before="120" w:after="120"/>
              <w:jc w:val="both"/>
            </w:pPr>
            <w:r w:rsidRPr="006B5B11">
              <w:t>Seller reasonably expects to achieve Construction Start by the following date [</w:t>
            </w:r>
            <w:r w:rsidRPr="006B5B11">
              <w:rPr>
                <w:highlight w:val="lightGray"/>
              </w:rPr>
              <w:t>_______</w:t>
            </w:r>
            <w:r w:rsidRPr="006B5B11">
              <w:t>] (the “</w:t>
            </w:r>
            <w:r w:rsidRPr="006B5B11">
              <w:rPr>
                <w:b/>
                <w:bCs/>
                <w:u w:val="single"/>
              </w:rPr>
              <w:t>Expected Construction Start Date</w:t>
            </w:r>
            <w:r w:rsidRPr="006B5B11">
              <w:t>”).</w:t>
            </w:r>
          </w:p>
        </w:tc>
      </w:tr>
      <w:tr w:rsidR="00C2274B" w:rsidRPr="006B5B11" w14:paraId="43CB1557" w14:textId="77777777" w:rsidTr="0080155D">
        <w:tc>
          <w:tcPr>
            <w:tcW w:w="3055" w:type="dxa"/>
          </w:tcPr>
          <w:p w14:paraId="67698252" w14:textId="220E60CE" w:rsidR="00C2274B" w:rsidRPr="006B5B11" w:rsidRDefault="00C2274B" w:rsidP="00C2274B">
            <w:pPr>
              <w:spacing w:before="120"/>
              <w:rPr>
                <w:b/>
              </w:rPr>
            </w:pPr>
            <w:r w:rsidRPr="006B5B11">
              <w:rPr>
                <w:b/>
              </w:rPr>
              <w:t>Guaranteed Construction Start Date:</w:t>
            </w:r>
          </w:p>
        </w:tc>
        <w:tc>
          <w:tcPr>
            <w:tcW w:w="6295" w:type="dxa"/>
          </w:tcPr>
          <w:p w14:paraId="1CA47982" w14:textId="77777777" w:rsidR="00C2274B" w:rsidRPr="006B5B11" w:rsidRDefault="00C2274B" w:rsidP="00C2274B">
            <w:pPr>
              <w:spacing w:before="120" w:after="120"/>
              <w:jc w:val="both"/>
            </w:pPr>
            <w:r w:rsidRPr="006B5B11">
              <w:t>The “</w:t>
            </w:r>
            <w:r w:rsidRPr="006B5B11">
              <w:rPr>
                <w:b/>
                <w:u w:val="single"/>
              </w:rPr>
              <w:t>Guaranteed Construction Start Date</w:t>
            </w:r>
            <w:r w:rsidRPr="006B5B11">
              <w:t>” means the Expected Construction Start Date, subject to extensions on a day-for-day basis due to Force Majeure or delays caused by transmission provider (e.g., the CAISO) or transmission owner (e.g., PG&amp;E) that are outside of the reasonable control of Seller.  Such day-for-day extensions, including for Force Majeure, shall be no longer than one-hundred twenty (120) days on a cumulative basis.  For clarity, these permitted extensions extend both the Guaranteed Construction Start Date and the Guaranteed COD simultaneously.</w:t>
            </w:r>
          </w:p>
          <w:p w14:paraId="6CD62C51" w14:textId="77777777" w:rsidR="00C2274B" w:rsidRPr="006B5B11" w:rsidRDefault="00C2274B" w:rsidP="00C2274B">
            <w:pPr>
              <w:spacing w:before="120" w:after="120"/>
              <w:jc w:val="both"/>
            </w:pPr>
            <w:r w:rsidRPr="006B5B11">
              <w:t>In the event that Seller fails to achieve the Guaranteed Construction Start Date, Seller shall pay delay damages to Buyer, (the “</w:t>
            </w:r>
            <w:r w:rsidRPr="006B5B11">
              <w:rPr>
                <w:b/>
                <w:u w:val="single"/>
              </w:rPr>
              <w:t>Daily Delay Damages</w:t>
            </w:r>
            <w:r w:rsidRPr="006B5B11">
              <w:t>”) for each day of delay, in the amount of the Development Security divided by 120.  The Daily Delay Damages shall be refundable to Seller if, and only if, Seller achieves COD on or before the Guaranteed COD.</w:t>
            </w:r>
          </w:p>
          <w:p w14:paraId="55B96100" w14:textId="3AC73EDE" w:rsidR="00C2274B" w:rsidRPr="006B5B11" w:rsidRDefault="00C2274B" w:rsidP="00C2274B">
            <w:pPr>
              <w:spacing w:before="120" w:after="120"/>
              <w:jc w:val="both"/>
            </w:pPr>
            <w:r w:rsidRPr="006B5B11">
              <w:t xml:space="preserve">Failure to achieve Guaranteed Construction Start within 180 days of the Guaranteed Construction Start Date shall constitute an Event of Default, and Buyer shall have the right, in its sole discretion, to terminate the PPA and retain </w:t>
            </w:r>
            <w:r w:rsidR="00B52B33">
              <w:t xml:space="preserve">a damage payment in the amount of the </w:t>
            </w:r>
            <w:r w:rsidRPr="006B5B11">
              <w:t xml:space="preserve">Development Security.  </w:t>
            </w:r>
          </w:p>
        </w:tc>
      </w:tr>
      <w:tr w:rsidR="00C2274B" w:rsidRPr="006B5B11" w14:paraId="22B95A2B" w14:textId="77777777" w:rsidTr="0080155D">
        <w:tc>
          <w:tcPr>
            <w:tcW w:w="3055" w:type="dxa"/>
          </w:tcPr>
          <w:p w14:paraId="79A1566F" w14:textId="04D10BFC" w:rsidR="00C2274B" w:rsidRPr="006B5B11" w:rsidRDefault="00C2274B" w:rsidP="00C2274B">
            <w:pPr>
              <w:spacing w:before="120"/>
              <w:rPr>
                <w:b/>
              </w:rPr>
            </w:pPr>
            <w:r w:rsidRPr="006B5B11">
              <w:rPr>
                <w:b/>
              </w:rPr>
              <w:lastRenderedPageBreak/>
              <w:t>Expected Commercial Operation Date:</w:t>
            </w:r>
          </w:p>
        </w:tc>
        <w:tc>
          <w:tcPr>
            <w:tcW w:w="6295" w:type="dxa"/>
          </w:tcPr>
          <w:p w14:paraId="3D7DEB51" w14:textId="62C570ED" w:rsidR="00C2274B" w:rsidRPr="006B5B11" w:rsidRDefault="00C2274B" w:rsidP="00C2274B">
            <w:pPr>
              <w:spacing w:before="120" w:after="120"/>
              <w:jc w:val="both"/>
            </w:pPr>
            <w:r w:rsidRPr="006B5B11">
              <w:t>Seller reasonably expects to achieve Commercial Operation by the following date [</w:t>
            </w:r>
            <w:r w:rsidRPr="006B5B11">
              <w:rPr>
                <w:highlight w:val="lightGray"/>
              </w:rPr>
              <w:t>_______</w:t>
            </w:r>
            <w:r w:rsidRPr="006B5B11">
              <w:t>] (the “</w:t>
            </w:r>
            <w:r w:rsidRPr="006B5B11">
              <w:rPr>
                <w:b/>
                <w:bCs/>
                <w:u w:val="single"/>
              </w:rPr>
              <w:t>Expected Commercial Operation Date</w:t>
            </w:r>
            <w:r w:rsidRPr="006B5B11">
              <w:t>”).</w:t>
            </w:r>
          </w:p>
        </w:tc>
      </w:tr>
      <w:tr w:rsidR="00C2274B" w:rsidRPr="006B5B11" w14:paraId="53C0DAEC" w14:textId="77777777" w:rsidTr="0080155D">
        <w:tc>
          <w:tcPr>
            <w:tcW w:w="3055" w:type="dxa"/>
          </w:tcPr>
          <w:p w14:paraId="36E9EBEE" w14:textId="6C64D96D" w:rsidR="00C2274B" w:rsidRPr="006B5B11" w:rsidRDefault="00C2274B" w:rsidP="00C2274B">
            <w:pPr>
              <w:spacing w:before="120"/>
              <w:rPr>
                <w:b/>
              </w:rPr>
            </w:pPr>
            <w:r w:rsidRPr="006B5B11">
              <w:rPr>
                <w:b/>
              </w:rPr>
              <w:t>Guaranteed Commercial Operation Date:</w:t>
            </w:r>
          </w:p>
        </w:tc>
        <w:tc>
          <w:tcPr>
            <w:tcW w:w="6295" w:type="dxa"/>
          </w:tcPr>
          <w:p w14:paraId="73F623AE" w14:textId="77777777" w:rsidR="00C2274B" w:rsidRPr="006B5B11" w:rsidRDefault="00C2274B" w:rsidP="00C2274B">
            <w:pPr>
              <w:spacing w:before="120" w:after="120"/>
              <w:jc w:val="both"/>
            </w:pPr>
            <w:r w:rsidRPr="006B5B11">
              <w:t>The “</w:t>
            </w:r>
            <w:r w:rsidRPr="006B5B11">
              <w:rPr>
                <w:b/>
                <w:u w:val="single"/>
              </w:rPr>
              <w:t>Guaranteed Commercial Operation Date</w:t>
            </w:r>
            <w:r w:rsidRPr="006B5B11">
              <w:t>” or “</w:t>
            </w:r>
            <w:r w:rsidRPr="006B5B11">
              <w:rPr>
                <w:b/>
                <w:u w:val="single"/>
              </w:rPr>
              <w:t>Guaranteed COD</w:t>
            </w:r>
            <w:r w:rsidRPr="006B5B11">
              <w:t>” means the Expected Commercial Operation Date, subject to extensions on a day-for-day basis due to Force Majeure or delays caused by transmission provider (e.g., the CAISO) or transmission owner (e.g., PG&amp;E) that are outside of the reasonable control of Seller.  Such day-for-day extensions, including for Force Majeure, shall be no longer than one-hundred twenty (120) days on a cumulative basis.  For clarity, these permitted extensions extend both the Guaranteed Construction Start Date and the Guaranteed COD simultaneously.</w:t>
            </w:r>
          </w:p>
          <w:p w14:paraId="44C3B86E" w14:textId="6EA3D16F" w:rsidR="00C2274B" w:rsidRPr="006B5B11" w:rsidRDefault="00C2274B" w:rsidP="00C2274B">
            <w:pPr>
              <w:spacing w:before="120" w:after="120"/>
              <w:jc w:val="both"/>
            </w:pPr>
            <w:r w:rsidRPr="006B5B11">
              <w:t xml:space="preserve">If Seller does not achieve COD of the </w:t>
            </w:r>
            <w:r w:rsidR="00B52B33">
              <w:t>Facility</w:t>
            </w:r>
            <w:r w:rsidRPr="006B5B11">
              <w:t xml:space="preserve"> by the Guaranteed COD, Seller shall pay Delay Damages to the Buyer for each day of delay until Seller achieves COD.</w:t>
            </w:r>
          </w:p>
          <w:p w14:paraId="2387354B" w14:textId="77777777" w:rsidR="00C2274B" w:rsidRPr="006B5B11" w:rsidRDefault="00C2274B" w:rsidP="00C2274B">
            <w:pPr>
              <w:spacing w:before="120" w:after="120"/>
              <w:jc w:val="both"/>
            </w:pPr>
            <w:r w:rsidRPr="006B5B11">
              <w:t>“</w:t>
            </w:r>
            <w:r w:rsidRPr="006B5B11">
              <w:rPr>
                <w:b/>
                <w:u w:val="single"/>
              </w:rPr>
              <w:t>Delay Damages</w:t>
            </w:r>
            <w:r w:rsidRPr="006B5B11">
              <w:t>” are equal to the Development Security divided by 60.  Delay Damages shall be paid for each day of delay and shall be paid to Buyer in advance on a monthly basis. A prorated amount will be returned to Seller if COD is achieved during the month for which Delay Damages were paid in advance.</w:t>
            </w:r>
          </w:p>
          <w:p w14:paraId="470CDE81" w14:textId="15145637" w:rsidR="00C2274B" w:rsidRPr="006B5B11" w:rsidRDefault="00C2274B" w:rsidP="00C2274B">
            <w:pPr>
              <w:spacing w:before="120" w:after="120"/>
              <w:jc w:val="both"/>
            </w:pPr>
            <w:r w:rsidRPr="006B5B11">
              <w:t xml:space="preserve">Failure to achieve COD within 60 days of the Guaranteed COD shall constitute an Event of Default, and Buyer shall have the right, in its sole discretion, to terminate the PPA and retain the Development Security.  </w:t>
            </w:r>
          </w:p>
        </w:tc>
      </w:tr>
      <w:tr w:rsidR="00C2274B" w:rsidRPr="006B5B11" w14:paraId="794B51AF" w14:textId="77777777" w:rsidTr="0080155D">
        <w:tc>
          <w:tcPr>
            <w:tcW w:w="3055" w:type="dxa"/>
          </w:tcPr>
          <w:p w14:paraId="3692A500" w14:textId="77777777" w:rsidR="00C2274B" w:rsidRPr="006B5B11" w:rsidRDefault="00C2274B" w:rsidP="00C2274B">
            <w:pPr>
              <w:spacing w:before="120"/>
              <w:rPr>
                <w:b/>
              </w:rPr>
            </w:pPr>
            <w:r w:rsidRPr="006B5B11">
              <w:rPr>
                <w:b/>
              </w:rPr>
              <w:t>Commercial Operation Date (“</w:t>
            </w:r>
            <w:r w:rsidRPr="006B5B11">
              <w:rPr>
                <w:b/>
                <w:u w:val="single"/>
              </w:rPr>
              <w:t>COD</w:t>
            </w:r>
            <w:r w:rsidRPr="006B5B11">
              <w:rPr>
                <w:b/>
              </w:rPr>
              <w:t>”):</w:t>
            </w:r>
          </w:p>
        </w:tc>
        <w:tc>
          <w:tcPr>
            <w:tcW w:w="6295" w:type="dxa"/>
          </w:tcPr>
          <w:p w14:paraId="32D0B363" w14:textId="4F213B1D" w:rsidR="00C2274B" w:rsidRPr="006B5B11" w:rsidRDefault="00C2274B" w:rsidP="00C2274B">
            <w:pPr>
              <w:spacing w:before="120" w:after="120"/>
              <w:jc w:val="both"/>
            </w:pPr>
            <w:r w:rsidRPr="006B5B11">
              <w:t xml:space="preserve">The COD shall be the date when all of the following requirements have been met to Buyer’s reasonable satisfaction including Seller providing a certificate from an independent engineer to Buyer </w:t>
            </w:r>
            <w:r w:rsidR="002C23F0">
              <w:t>certifying to the following</w:t>
            </w:r>
            <w:r w:rsidRPr="006B5B11">
              <w:t xml:space="preserve">: </w:t>
            </w:r>
          </w:p>
          <w:p w14:paraId="7BAB593B" w14:textId="2FC0CE1D" w:rsidR="00C2274B" w:rsidRPr="009D7867" w:rsidRDefault="00C2274B" w:rsidP="00C2274B">
            <w:pPr>
              <w:pStyle w:val="ListParagraph"/>
              <w:numPr>
                <w:ilvl w:val="0"/>
                <w:numId w:val="20"/>
              </w:numPr>
              <w:spacing w:before="120" w:after="120"/>
              <w:contextualSpacing w:val="0"/>
              <w:jc w:val="both"/>
            </w:pPr>
            <w:r w:rsidRPr="00915FAE">
              <w:rPr>
                <w:color w:val="000000" w:themeColor="text1"/>
              </w:rPr>
              <w:t xml:space="preserve">The </w:t>
            </w:r>
            <w:r w:rsidR="00DB5202">
              <w:rPr>
                <w:color w:val="000000" w:themeColor="text1"/>
              </w:rPr>
              <w:t>Facility</w:t>
            </w:r>
            <w:r w:rsidRPr="00915FAE">
              <w:rPr>
                <w:color w:val="000000" w:themeColor="text1"/>
              </w:rPr>
              <w:t xml:space="preserve"> is fully operational, reliable and interconnected, fully integrated and synchronized with the Transmission System</w:t>
            </w:r>
            <w:r>
              <w:rPr>
                <w:color w:val="000000" w:themeColor="text1"/>
              </w:rPr>
              <w:t>.</w:t>
            </w:r>
          </w:p>
          <w:p w14:paraId="38236607" w14:textId="020DECCA" w:rsidR="00C2274B" w:rsidRPr="009D7867" w:rsidRDefault="00C2274B" w:rsidP="00C2274B">
            <w:pPr>
              <w:pStyle w:val="ListParagraph"/>
              <w:numPr>
                <w:ilvl w:val="0"/>
                <w:numId w:val="20"/>
              </w:numPr>
              <w:spacing w:before="120" w:after="120"/>
              <w:contextualSpacing w:val="0"/>
              <w:jc w:val="both"/>
            </w:pPr>
            <w:r w:rsidRPr="00E21780">
              <w:rPr>
                <w:color w:val="000000" w:themeColor="text1"/>
              </w:rPr>
              <w:t xml:space="preserve">Seller has installed equipment for the </w:t>
            </w:r>
            <w:r w:rsidR="00DB5202">
              <w:rPr>
                <w:color w:val="000000" w:themeColor="text1"/>
              </w:rPr>
              <w:t>Facility</w:t>
            </w:r>
            <w:r w:rsidRPr="00E21780">
              <w:rPr>
                <w:color w:val="000000" w:themeColor="text1"/>
              </w:rPr>
              <w:t xml:space="preserve"> with a nameplate capacity of no less than ninety-five percent (95%) of the Guaranteed Capacity</w:t>
            </w:r>
            <w:r>
              <w:rPr>
                <w:color w:val="000000" w:themeColor="text1"/>
              </w:rPr>
              <w:t>.</w:t>
            </w:r>
          </w:p>
          <w:p w14:paraId="6C8AF69A" w14:textId="77777777" w:rsidR="00C2274B" w:rsidRPr="009D7867" w:rsidRDefault="00C2274B" w:rsidP="00C2274B">
            <w:pPr>
              <w:pStyle w:val="ListParagraph"/>
              <w:numPr>
                <w:ilvl w:val="0"/>
                <w:numId w:val="20"/>
              </w:numPr>
              <w:spacing w:before="120" w:after="120"/>
              <w:contextualSpacing w:val="0"/>
              <w:jc w:val="both"/>
            </w:pPr>
            <w:r w:rsidRPr="009D7867">
              <w:rPr>
                <w:color w:val="000000" w:themeColor="text1"/>
              </w:rPr>
              <w:t>Seller has commissioned all equipment in accordance with its respective manufacturer’s specifications.</w:t>
            </w:r>
          </w:p>
          <w:p w14:paraId="1323C2B0" w14:textId="082D3214" w:rsidR="00C2274B" w:rsidRPr="007565F5" w:rsidRDefault="00C2274B" w:rsidP="009D7867">
            <w:pPr>
              <w:pStyle w:val="ListParagraph"/>
              <w:numPr>
                <w:ilvl w:val="0"/>
                <w:numId w:val="20"/>
              </w:numPr>
              <w:spacing w:before="120" w:after="120"/>
              <w:contextualSpacing w:val="0"/>
              <w:jc w:val="both"/>
            </w:pPr>
            <w:r w:rsidRPr="009D7867">
              <w:rPr>
                <w:color w:val="000000" w:themeColor="text1"/>
              </w:rPr>
              <w:lastRenderedPageBreak/>
              <w:t xml:space="preserve">The </w:t>
            </w:r>
            <w:r w:rsidR="00DB5202">
              <w:rPr>
                <w:color w:val="000000" w:themeColor="text1"/>
              </w:rPr>
              <w:t>Facility</w:t>
            </w:r>
            <w:r w:rsidRPr="009D7867">
              <w:rPr>
                <w:color w:val="000000" w:themeColor="text1"/>
              </w:rPr>
              <w:t xml:space="preserve">’s testing included a performance test demonstrating peak electrical output of no less than ninety-five percent (95%) of the Guaranteed Capacity for the </w:t>
            </w:r>
            <w:r w:rsidR="00DB5202">
              <w:rPr>
                <w:color w:val="000000" w:themeColor="text1"/>
              </w:rPr>
              <w:t>Facility</w:t>
            </w:r>
            <w:r w:rsidRPr="009D7867">
              <w:rPr>
                <w:color w:val="000000" w:themeColor="text1"/>
              </w:rPr>
              <w:t xml:space="preserve"> at the Delivery Point, as adjusted for ambient conditions on the date of the Facility testing, and such peak electrical output, as adjusted, was [peak output in MW].</w:t>
            </w:r>
          </w:p>
          <w:p w14:paraId="0C45F783" w14:textId="18185A55" w:rsidR="00C2274B" w:rsidRDefault="00C2274B" w:rsidP="009D7867">
            <w:pPr>
              <w:pStyle w:val="ListParagraph"/>
              <w:numPr>
                <w:ilvl w:val="0"/>
                <w:numId w:val="20"/>
              </w:numPr>
              <w:spacing w:before="120" w:after="120"/>
              <w:contextualSpacing w:val="0"/>
              <w:jc w:val="both"/>
              <w:rPr>
                <w:color w:val="000000" w:themeColor="text1"/>
              </w:rPr>
            </w:pPr>
            <w:r w:rsidRPr="009D7867">
              <w:rPr>
                <w:color w:val="000000" w:themeColor="text1"/>
              </w:rPr>
              <w:t xml:space="preserve">Authorization to parallel the Facility was obtained by the Participating Transmission Owner, [Name of Participating Transmission Owner as appropriate] on </w:t>
            </w:r>
            <w:r w:rsidRPr="007565F5">
              <w:rPr>
                <w:szCs w:val="22"/>
              </w:rPr>
              <w:t>[</w:t>
            </w:r>
            <w:r w:rsidRPr="009D7867">
              <w:rPr>
                <w:color w:val="000000" w:themeColor="text1"/>
              </w:rPr>
              <w:t>Date</w:t>
            </w:r>
            <w:r w:rsidRPr="007565F5">
              <w:rPr>
                <w:szCs w:val="22"/>
              </w:rPr>
              <w:t>]</w:t>
            </w:r>
            <w:r w:rsidRPr="009D7867">
              <w:rPr>
                <w:color w:val="000000" w:themeColor="text1"/>
              </w:rPr>
              <w:t>.</w:t>
            </w:r>
          </w:p>
          <w:p w14:paraId="70DE5A67" w14:textId="2E339774" w:rsidR="00C2274B" w:rsidRPr="009D7867" w:rsidRDefault="00C2274B" w:rsidP="009D7867">
            <w:pPr>
              <w:pStyle w:val="ListParagraph"/>
              <w:numPr>
                <w:ilvl w:val="0"/>
                <w:numId w:val="20"/>
              </w:numPr>
              <w:spacing w:before="120" w:after="120"/>
              <w:contextualSpacing w:val="0"/>
              <w:jc w:val="both"/>
              <w:rPr>
                <w:color w:val="000000" w:themeColor="text1"/>
              </w:rPr>
            </w:pPr>
            <w:r w:rsidRPr="009D7867">
              <w:rPr>
                <w:color w:val="000000" w:themeColor="text1"/>
              </w:rPr>
              <w:t xml:space="preserve">The Transmission Provider has provided documentation supporting full unrestricted release for Commercial Operation by [Name of Participating Transmission Owner as appropriate] on </w:t>
            </w:r>
            <w:r w:rsidRPr="007565F5">
              <w:rPr>
                <w:szCs w:val="22"/>
              </w:rPr>
              <w:t>[</w:t>
            </w:r>
            <w:r w:rsidRPr="009D7867">
              <w:rPr>
                <w:color w:val="000000" w:themeColor="text1"/>
              </w:rPr>
              <w:t>Date</w:t>
            </w:r>
            <w:r w:rsidRPr="007565F5">
              <w:rPr>
                <w:szCs w:val="22"/>
              </w:rPr>
              <w:t>]</w:t>
            </w:r>
            <w:r w:rsidRPr="009D7867">
              <w:rPr>
                <w:color w:val="000000" w:themeColor="text1"/>
              </w:rPr>
              <w:t>.</w:t>
            </w:r>
          </w:p>
          <w:p w14:paraId="207921A0" w14:textId="0B60E90F" w:rsidR="00C2274B" w:rsidRPr="006B5B11" w:rsidRDefault="00C2274B" w:rsidP="009D7867">
            <w:pPr>
              <w:pStyle w:val="ListParagraph"/>
              <w:numPr>
                <w:ilvl w:val="0"/>
                <w:numId w:val="20"/>
              </w:numPr>
              <w:spacing w:before="120" w:after="120"/>
              <w:contextualSpacing w:val="0"/>
              <w:jc w:val="both"/>
            </w:pPr>
            <w:r w:rsidRPr="00ED6F01">
              <w:rPr>
                <w:color w:val="000000" w:themeColor="text1"/>
              </w:rPr>
              <w:t xml:space="preserve">The CAISO has provided notification supporting Commercial Operation, in accordance with the CAISO Tariff on </w:t>
            </w:r>
            <w:r w:rsidRPr="00ED6F01">
              <w:rPr>
                <w:szCs w:val="22"/>
              </w:rPr>
              <w:t>[</w:t>
            </w:r>
            <w:r w:rsidRPr="00ED6F01">
              <w:rPr>
                <w:color w:val="000000" w:themeColor="text1"/>
              </w:rPr>
              <w:t>Date</w:t>
            </w:r>
            <w:r w:rsidRPr="00ED6F01">
              <w:rPr>
                <w:szCs w:val="22"/>
              </w:rPr>
              <w:t>]</w:t>
            </w:r>
            <w:r w:rsidRPr="006B5B11">
              <w:t xml:space="preserve"> </w:t>
            </w:r>
          </w:p>
          <w:p w14:paraId="620BC9D8" w14:textId="03FFB200" w:rsidR="00C2274B" w:rsidRPr="006B5B11" w:rsidRDefault="00C2274B" w:rsidP="009D7867">
            <w:pPr>
              <w:spacing w:before="120" w:after="120"/>
              <w:jc w:val="both"/>
            </w:pPr>
            <w:r w:rsidRPr="006B5B11">
              <w:t xml:space="preserve">Seller shall provide notice of expected COD to Buyer in writing no less than sixty (60) days in advance of such date. </w:t>
            </w:r>
          </w:p>
        </w:tc>
      </w:tr>
      <w:tr w:rsidR="00C2274B" w:rsidRPr="006B5B11" w14:paraId="461E714C" w14:textId="77777777" w:rsidTr="0080155D">
        <w:tc>
          <w:tcPr>
            <w:tcW w:w="3055" w:type="dxa"/>
          </w:tcPr>
          <w:p w14:paraId="05CB0769" w14:textId="1FD9AACF" w:rsidR="00C2274B" w:rsidRPr="006B5B11" w:rsidRDefault="00C2274B" w:rsidP="00C2274B">
            <w:pPr>
              <w:spacing w:before="120"/>
              <w:rPr>
                <w:b/>
              </w:rPr>
            </w:pPr>
            <w:r>
              <w:rPr>
                <w:b/>
              </w:rPr>
              <w:lastRenderedPageBreak/>
              <w:t>Facility</w:t>
            </w:r>
            <w:r w:rsidRPr="006B5B11">
              <w:rPr>
                <w:b/>
              </w:rPr>
              <w:t xml:space="preserve"> Development Milestones:</w:t>
            </w:r>
          </w:p>
        </w:tc>
        <w:tc>
          <w:tcPr>
            <w:tcW w:w="6295" w:type="dxa"/>
            <w:shd w:val="clear" w:color="auto" w:fill="auto"/>
          </w:tcPr>
          <w:p w14:paraId="2E69A5DD" w14:textId="5BA7BA7C"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Pr="006B5B11">
              <w:rPr>
                <w:rFonts w:ascii="Times New Roman" w:hAnsi="Times New Roman" w:cs="Times New Roman"/>
                <w:i/>
                <w:iCs/>
                <w:sz w:val="24"/>
                <w:szCs w:val="24"/>
                <w:highlight w:val="lightGray"/>
              </w:rPr>
              <w:t>mm/</w:t>
            </w:r>
            <w:r w:rsidR="00EB123B" w:rsidRPr="006B5B11">
              <w:rPr>
                <w:rFonts w:ascii="Times New Roman" w:hAnsi="Times New Roman" w:cs="Times New Roman"/>
                <w:i/>
                <w:iCs/>
                <w:sz w:val="24"/>
                <w:szCs w:val="24"/>
                <w:highlight w:val="lightGray"/>
              </w:rPr>
              <w:t>dd/</w:t>
            </w:r>
            <w:r w:rsidRPr="006B5B11">
              <w:rPr>
                <w:rFonts w:ascii="Times New Roman" w:hAnsi="Times New Roman" w:cs="Times New Roman"/>
                <w:i/>
                <w:iCs/>
                <w:sz w:val="24"/>
                <w:szCs w:val="24"/>
                <w:highlight w:val="lightGray"/>
              </w:rPr>
              <w:t>yyyy</w:t>
            </w:r>
            <w:r w:rsidRPr="006B5B11">
              <w:rPr>
                <w:rFonts w:ascii="Times New Roman" w:hAnsi="Times New Roman" w:cs="Times New Roman"/>
                <w:sz w:val="24"/>
                <w:szCs w:val="24"/>
              </w:rPr>
              <w:t>]– Execute Interconnection Agreement</w:t>
            </w:r>
          </w:p>
          <w:p w14:paraId="260CE12F" w14:textId="33EAFA1E"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 Procure major equipment</w:t>
            </w:r>
          </w:p>
          <w:p w14:paraId="57279001" w14:textId="475A090C"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w:t>
            </w:r>
            <w:r>
              <w:rPr>
                <w:rFonts w:ascii="Times New Roman" w:hAnsi="Times New Roman" w:cs="Times New Roman"/>
                <w:sz w:val="24"/>
                <w:szCs w:val="24"/>
              </w:rPr>
              <w:t xml:space="preserve"> </w:t>
            </w:r>
            <w:r w:rsidRPr="006B5B11">
              <w:rPr>
                <w:rFonts w:ascii="Times New Roman" w:hAnsi="Times New Roman" w:cs="Times New Roman"/>
                <w:sz w:val="24"/>
                <w:szCs w:val="24"/>
              </w:rPr>
              <w:t xml:space="preserve">Obtain federal and state discretionary permits </w:t>
            </w:r>
          </w:p>
          <w:p w14:paraId="23CC5E97" w14:textId="52C82508"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 Expected Construction Start Date</w:t>
            </w:r>
          </w:p>
          <w:p w14:paraId="725593BB" w14:textId="65BAD4F1"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 Guaranteed Construction Start Date</w:t>
            </w:r>
          </w:p>
          <w:p w14:paraId="581154B5" w14:textId="3BACD286"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 Obtain Full Capacity Deliverability Status</w:t>
            </w:r>
          </w:p>
          <w:p w14:paraId="2BEB93A0" w14:textId="7ACCA4F9"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Expected Commercial Operation Date</w:t>
            </w:r>
          </w:p>
          <w:p w14:paraId="1481797D" w14:textId="51332BF3" w:rsidR="00C2274B" w:rsidRPr="006B5B11" w:rsidRDefault="00C2274B" w:rsidP="00C2274B">
            <w:pPr>
              <w:pStyle w:val="JeffsPreferredBullets"/>
              <w:numPr>
                <w:ilvl w:val="0"/>
                <w:numId w:val="28"/>
              </w:numPr>
              <w:spacing w:before="120" w:after="120" w:line="240" w:lineRule="auto"/>
              <w:ind w:left="432"/>
              <w:contextualSpacing w:val="0"/>
              <w:jc w:val="both"/>
              <w:rPr>
                <w:rFonts w:ascii="Times New Roman" w:hAnsi="Times New Roman" w:cs="Times New Roman"/>
                <w:bCs/>
                <w:sz w:val="24"/>
                <w:szCs w:val="24"/>
              </w:rPr>
            </w:pPr>
            <w:r w:rsidRPr="006B5B11">
              <w:rPr>
                <w:rFonts w:ascii="Times New Roman" w:hAnsi="Times New Roman" w:cs="Times New Roman"/>
                <w:sz w:val="24"/>
                <w:szCs w:val="24"/>
              </w:rPr>
              <w:t>[</w:t>
            </w:r>
            <w:r w:rsidR="00EB123B" w:rsidRPr="006B5B11">
              <w:rPr>
                <w:rFonts w:ascii="Times New Roman" w:hAnsi="Times New Roman" w:cs="Times New Roman"/>
                <w:i/>
                <w:iCs/>
                <w:sz w:val="24"/>
                <w:szCs w:val="24"/>
                <w:highlight w:val="lightGray"/>
              </w:rPr>
              <w:t>mm/dd/yyyy</w:t>
            </w:r>
            <w:r w:rsidRPr="006B5B11">
              <w:rPr>
                <w:rFonts w:ascii="Times New Roman" w:hAnsi="Times New Roman" w:cs="Times New Roman"/>
                <w:sz w:val="24"/>
                <w:szCs w:val="24"/>
              </w:rPr>
              <w:t xml:space="preserve">]– Guaranteed Commercial Operation Date </w:t>
            </w:r>
          </w:p>
        </w:tc>
      </w:tr>
      <w:tr w:rsidR="00C2274B" w:rsidRPr="006B5B11" w14:paraId="3716A3E1" w14:textId="77777777" w:rsidTr="0080155D">
        <w:tc>
          <w:tcPr>
            <w:tcW w:w="3055" w:type="dxa"/>
          </w:tcPr>
          <w:p w14:paraId="0A6EADDB" w14:textId="18F9A07D" w:rsidR="00C2274B" w:rsidRPr="006B5B11" w:rsidRDefault="00C2274B" w:rsidP="00C2274B">
            <w:pPr>
              <w:spacing w:before="120"/>
              <w:rPr>
                <w:b/>
              </w:rPr>
            </w:pPr>
            <w:r w:rsidRPr="006B5B11">
              <w:rPr>
                <w:b/>
              </w:rPr>
              <w:t>Deliverability:</w:t>
            </w:r>
          </w:p>
        </w:tc>
        <w:tc>
          <w:tcPr>
            <w:tcW w:w="6295" w:type="dxa"/>
            <w:shd w:val="clear" w:color="auto" w:fill="auto"/>
          </w:tcPr>
          <w:p w14:paraId="5310659A" w14:textId="7C7A902D" w:rsidR="00C2274B" w:rsidRPr="006B5B11" w:rsidRDefault="00C2274B" w:rsidP="00C2274B">
            <w:pPr>
              <w:pStyle w:val="JeffsPreferredBullets"/>
              <w:numPr>
                <w:ilvl w:val="0"/>
                <w:numId w:val="0"/>
              </w:numPr>
              <w:spacing w:before="120" w:after="120" w:line="240" w:lineRule="auto"/>
              <w:contextualSpacing w:val="0"/>
              <w:jc w:val="both"/>
              <w:rPr>
                <w:rFonts w:ascii="Times New Roman" w:hAnsi="Times New Roman" w:cs="Times New Roman"/>
                <w:sz w:val="24"/>
                <w:szCs w:val="24"/>
              </w:rPr>
            </w:pPr>
            <w:r w:rsidRPr="006B5B11">
              <w:rPr>
                <w:rFonts w:ascii="Times New Roman" w:hAnsi="Times New Roman" w:cs="Times New Roman"/>
                <w:sz w:val="24"/>
                <w:szCs w:val="24"/>
              </w:rPr>
              <w:t xml:space="preserve">The </w:t>
            </w:r>
            <w:r>
              <w:rPr>
                <w:rFonts w:ascii="Times New Roman" w:hAnsi="Times New Roman" w:cs="Times New Roman"/>
                <w:sz w:val="24"/>
                <w:szCs w:val="24"/>
              </w:rPr>
              <w:t>Facility</w:t>
            </w:r>
            <w:r w:rsidRPr="006B5B11">
              <w:rPr>
                <w:rFonts w:ascii="Times New Roman" w:hAnsi="Times New Roman" w:cs="Times New Roman"/>
                <w:sz w:val="24"/>
                <w:szCs w:val="24"/>
              </w:rPr>
              <w:t xml:space="preserve"> will have Full Capacity Deliverability Status by the Commercial Operation Date.</w:t>
            </w:r>
          </w:p>
        </w:tc>
      </w:tr>
      <w:tr w:rsidR="00C2274B" w:rsidRPr="006B5B11" w14:paraId="0E212CB8" w14:textId="77777777" w:rsidTr="0080155D">
        <w:tc>
          <w:tcPr>
            <w:tcW w:w="3055" w:type="dxa"/>
          </w:tcPr>
          <w:p w14:paraId="1A33CADC" w14:textId="77777777" w:rsidR="00C2274B" w:rsidRPr="006B5B11" w:rsidRDefault="00C2274B" w:rsidP="00C2274B">
            <w:pPr>
              <w:spacing w:before="120"/>
            </w:pPr>
            <w:r w:rsidRPr="006B5B11">
              <w:rPr>
                <w:b/>
              </w:rPr>
              <w:t>Scheduling Requirements and CAISO Settlements:</w:t>
            </w:r>
          </w:p>
        </w:tc>
        <w:tc>
          <w:tcPr>
            <w:tcW w:w="6295" w:type="dxa"/>
          </w:tcPr>
          <w:p w14:paraId="4FFA19FC" w14:textId="7B9DE67B" w:rsidR="00C2274B" w:rsidRPr="006B5B11" w:rsidRDefault="00C2274B" w:rsidP="00C2274B">
            <w:pPr>
              <w:spacing w:before="120" w:after="120"/>
              <w:jc w:val="both"/>
            </w:pPr>
            <w:r w:rsidRPr="006B5B11">
              <w:t>Buyer or Buyer’s agent shall act as Scheduling Coordinator (as defined by the CAISO)</w:t>
            </w:r>
            <w:r>
              <w:t xml:space="preserve"> </w:t>
            </w:r>
            <w:r w:rsidRPr="006B5B11">
              <w:t xml:space="preserve">for the </w:t>
            </w:r>
            <w:r>
              <w:t>Facility</w:t>
            </w:r>
            <w:r w:rsidRPr="006B5B11">
              <w:t xml:space="preserve">. Buyer shall be financially responsible for such services and shall pay for all CAISO charges and retain all CAISO payments; provided </w:t>
            </w:r>
            <w:r w:rsidRPr="006B5B11">
              <w:lastRenderedPageBreak/>
              <w:t xml:space="preserve">however, that notwithstanding the foregoing, Seller shall assume all liability and reimburse Buyer for any and all costs or charges (i) incurred by Buyer because of Seller’s failure to perform, (ii) incurred by Buyer because of any outages for which notice has not been provided as required, (iii) associated with Resource Adequacy Capacity (as defined by the CAISO) from the </w:t>
            </w:r>
            <w:r>
              <w:t>Facility</w:t>
            </w:r>
            <w:r w:rsidRPr="006B5B11">
              <w:t xml:space="preserve"> (including Non-Availability Charges (as defined by the CAISO)), if applicable or (iv) to the extent arising as a result of Seller’s failure to comply with a timely Buyer Curtailment Order if such failure results in incremental costs to Buyer. </w:t>
            </w:r>
          </w:p>
          <w:p w14:paraId="502A9EF6" w14:textId="5BA3B736" w:rsidR="00C2274B" w:rsidRPr="006B5B11" w:rsidRDefault="00C2274B" w:rsidP="00C2274B">
            <w:pPr>
              <w:spacing w:before="120" w:after="120"/>
              <w:jc w:val="both"/>
            </w:pPr>
            <w:r w:rsidRPr="006C0CA8">
              <w:t xml:space="preserve">Seller shall provide to Buyer non-binding annual, monthly and day-ahead forecasts of </w:t>
            </w:r>
            <w:r w:rsidR="00DB5202">
              <w:t>Facility</w:t>
            </w:r>
            <w:r>
              <w:t xml:space="preserve"> energy</w:t>
            </w:r>
            <w:r w:rsidRPr="006C0CA8">
              <w:t xml:space="preserve"> within a timeline that allows Buyer</w:t>
            </w:r>
            <w:r>
              <w:t>’s Scheduling Coordinator</w:t>
            </w:r>
            <w:r w:rsidRPr="006C0CA8">
              <w:t xml:space="preserve"> to meet the CAISO day-ahead scheduling protocols and deadlines. </w:t>
            </w:r>
          </w:p>
        </w:tc>
      </w:tr>
      <w:tr w:rsidR="00C2274B" w:rsidRPr="006B5B11" w14:paraId="1D2D04B5" w14:textId="77777777" w:rsidTr="0080155D">
        <w:tc>
          <w:tcPr>
            <w:tcW w:w="3055" w:type="dxa"/>
          </w:tcPr>
          <w:p w14:paraId="29BD5128" w14:textId="7EBE6009" w:rsidR="00C2274B" w:rsidRPr="006B5B11" w:rsidRDefault="00C2274B" w:rsidP="00C2274B">
            <w:pPr>
              <w:spacing w:before="120"/>
              <w:rPr>
                <w:b/>
              </w:rPr>
            </w:pPr>
            <w:r w:rsidRPr="006B5B11">
              <w:rPr>
                <w:b/>
              </w:rPr>
              <w:lastRenderedPageBreak/>
              <w:t>Monthly Settlement and Invoice:</w:t>
            </w:r>
          </w:p>
        </w:tc>
        <w:tc>
          <w:tcPr>
            <w:tcW w:w="6295" w:type="dxa"/>
          </w:tcPr>
          <w:p w14:paraId="5EDF3BDA" w14:textId="2D74A0C9" w:rsidR="00C2274B" w:rsidRPr="006B5B11" w:rsidRDefault="00C2274B" w:rsidP="00C2274B">
            <w:pPr>
              <w:spacing w:before="120" w:after="120"/>
              <w:jc w:val="both"/>
              <w:outlineLvl w:val="3"/>
            </w:pPr>
            <w:r w:rsidRPr="006B5B11">
              <w:t>Within ten (10) days after the end of each month of the Delivery Term, Seller shall send a detailed invoice to Buyer for the amount due for Product delivered during such month. The invoice shall include all information necessary to confirm the amount due.</w:t>
            </w:r>
          </w:p>
          <w:p w14:paraId="114B9F5A" w14:textId="7F51FCB5" w:rsidR="00C2274B" w:rsidRPr="006B5B11" w:rsidRDefault="00C2274B" w:rsidP="009D7867">
            <w:pPr>
              <w:spacing w:before="120" w:after="120"/>
              <w:jc w:val="both"/>
              <w:outlineLvl w:val="3"/>
            </w:pPr>
            <w:r w:rsidRPr="006B5B11">
              <w:t>Payment for undisputed amounts shall be due to the applicable party thirty (30) days from the invoice date, with disputed payments subject to Buyer’s billing dispute process.</w:t>
            </w:r>
          </w:p>
        </w:tc>
      </w:tr>
      <w:tr w:rsidR="00C2274B" w:rsidRPr="006B5B11" w14:paraId="31D7CEFC" w14:textId="77777777" w:rsidTr="0080155D">
        <w:tc>
          <w:tcPr>
            <w:tcW w:w="3055" w:type="dxa"/>
          </w:tcPr>
          <w:p w14:paraId="700D1C0D" w14:textId="3E912ED2" w:rsidR="00C2274B" w:rsidRPr="006B5B11" w:rsidRDefault="00C2274B" w:rsidP="00C2274B">
            <w:pPr>
              <w:spacing w:before="120"/>
              <w:rPr>
                <w:b/>
              </w:rPr>
            </w:pPr>
            <w:r w:rsidRPr="006B5B11">
              <w:rPr>
                <w:b/>
              </w:rPr>
              <w:t xml:space="preserve">Operations and Maintenance: </w:t>
            </w:r>
          </w:p>
        </w:tc>
        <w:tc>
          <w:tcPr>
            <w:tcW w:w="6295" w:type="dxa"/>
          </w:tcPr>
          <w:p w14:paraId="41FA13D6" w14:textId="079FECA1" w:rsidR="00C2274B" w:rsidRPr="006B5B11" w:rsidRDefault="00C2274B" w:rsidP="00C2274B">
            <w:pPr>
              <w:spacing w:before="120" w:after="120"/>
              <w:jc w:val="both"/>
            </w:pPr>
            <w:r w:rsidRPr="006B5B11">
              <w:t xml:space="preserve">Seller shall not during the months of June through September inclusive schedule any non-emergency maintenance that reduces the energy </w:t>
            </w:r>
            <w:r>
              <w:t>generating</w:t>
            </w:r>
            <w:r w:rsidRPr="006B5B11">
              <w:t xml:space="preserve"> capability of the </w:t>
            </w:r>
            <w:r>
              <w:t>Facility</w:t>
            </w:r>
            <w:r w:rsidRPr="006B5B11">
              <w:t xml:space="preserve"> by more than ten percent (10%), unless (i) such outage is required to avoid damage to the </w:t>
            </w:r>
            <w:r>
              <w:t>Facility</w:t>
            </w:r>
            <w:r w:rsidRPr="006B5B11">
              <w:t>, (ii) such maintenance is necessary to maintain equipment warranties and cannot be scheduled outside the months of June through September, (iii) such outage is required in accordance with prudent electrical practices, or (iv) the Parties agree otherwise in writing.</w:t>
            </w:r>
          </w:p>
        </w:tc>
      </w:tr>
      <w:tr w:rsidR="00C2274B" w:rsidRPr="006B5B11" w14:paraId="391759C9" w14:textId="77777777" w:rsidTr="0080155D">
        <w:tc>
          <w:tcPr>
            <w:tcW w:w="3055" w:type="dxa"/>
          </w:tcPr>
          <w:p w14:paraId="329DA89E" w14:textId="5690471A" w:rsidR="00C2274B" w:rsidRPr="006B5B11" w:rsidRDefault="00C2274B" w:rsidP="00C2274B">
            <w:pPr>
              <w:spacing w:before="120"/>
              <w:rPr>
                <w:b/>
              </w:rPr>
            </w:pPr>
            <w:r w:rsidRPr="006B5B11">
              <w:rPr>
                <w:b/>
              </w:rPr>
              <w:t>Credit Requirements:</w:t>
            </w:r>
          </w:p>
        </w:tc>
        <w:tc>
          <w:tcPr>
            <w:tcW w:w="6295" w:type="dxa"/>
            <w:shd w:val="clear" w:color="auto" w:fill="auto"/>
          </w:tcPr>
          <w:p w14:paraId="655A8A97" w14:textId="08C39AAD" w:rsidR="00C2274B" w:rsidRPr="006B5B11" w:rsidRDefault="00C2274B" w:rsidP="00C2274B">
            <w:pPr>
              <w:spacing w:before="120" w:after="120"/>
              <w:jc w:val="both"/>
            </w:pPr>
            <w:r w:rsidRPr="006B5B11">
              <w:t>Seller shall post security as follows:</w:t>
            </w:r>
          </w:p>
          <w:p w14:paraId="4BF85FE9" w14:textId="0CB3EACA" w:rsidR="00C2274B" w:rsidRPr="006B5B11" w:rsidRDefault="00C2274B" w:rsidP="00C2274B">
            <w:pPr>
              <w:spacing w:before="120" w:after="120"/>
              <w:jc w:val="both"/>
              <w:rPr>
                <w:u w:val="single"/>
              </w:rPr>
            </w:pPr>
            <w:r w:rsidRPr="006B5B11">
              <w:rPr>
                <w:b/>
                <w:bCs/>
                <w:u w:val="single"/>
              </w:rPr>
              <w:t>Development Security</w:t>
            </w:r>
            <w:r w:rsidRPr="00CA6FF4">
              <w:t xml:space="preserve"> </w:t>
            </w:r>
            <w:r w:rsidRPr="006B5B11">
              <w:t xml:space="preserve">– $90,000 per MW of </w:t>
            </w:r>
            <w:r w:rsidR="00DB5202" w:rsidRPr="009D7867">
              <w:rPr>
                <w:iCs/>
              </w:rPr>
              <w:t>Guaranteed Capacity</w:t>
            </w:r>
            <w:r w:rsidRPr="006B5B11">
              <w:rPr>
                <w:i/>
              </w:rPr>
              <w:t xml:space="preserve"> </w:t>
            </w:r>
          </w:p>
          <w:p w14:paraId="406639CE" w14:textId="3BEC8F1F" w:rsidR="00C2274B" w:rsidRDefault="00C2274B" w:rsidP="00C2274B">
            <w:pPr>
              <w:spacing w:before="120" w:after="120"/>
              <w:jc w:val="both"/>
              <w:rPr>
                <w:i/>
              </w:rPr>
            </w:pPr>
            <w:r w:rsidRPr="006B5B11">
              <w:rPr>
                <w:b/>
                <w:bCs/>
                <w:u w:val="single"/>
              </w:rPr>
              <w:t>Performance Security</w:t>
            </w:r>
            <w:r w:rsidRPr="006B5B11">
              <w:t xml:space="preserve"> – $105,000 per MW of </w:t>
            </w:r>
            <w:r w:rsidR="00DB5202" w:rsidRPr="009D7867">
              <w:rPr>
                <w:iCs/>
              </w:rPr>
              <w:t>Guaranteed Capacity</w:t>
            </w:r>
            <w:r w:rsidRPr="006B5B11">
              <w:rPr>
                <w:i/>
              </w:rPr>
              <w:t xml:space="preserve"> </w:t>
            </w:r>
          </w:p>
          <w:p w14:paraId="628FF808" w14:textId="538945B3" w:rsidR="00C2274B" w:rsidRPr="006B5B11" w:rsidRDefault="00C2274B" w:rsidP="00C2274B">
            <w:pPr>
              <w:spacing w:before="120" w:after="120"/>
              <w:jc w:val="both"/>
              <w:rPr>
                <w:color w:val="000000"/>
              </w:rPr>
            </w:pPr>
            <w:r w:rsidRPr="006B5B11">
              <w:rPr>
                <w:color w:val="000000"/>
              </w:rPr>
              <w:t xml:space="preserve">To secure its obligations under this </w:t>
            </w:r>
            <w:r>
              <w:rPr>
                <w:color w:val="000000"/>
              </w:rPr>
              <w:t>PPA</w:t>
            </w:r>
            <w:r w:rsidRPr="006B5B11">
              <w:rPr>
                <w:color w:val="000000"/>
              </w:rPr>
              <w:t xml:space="preserve">, Seller shall deliver the Development Security to Buyer within thirty (30) days of the </w:t>
            </w:r>
            <w:r w:rsidRPr="006B5B11">
              <w:rPr>
                <w:color w:val="000000"/>
              </w:rPr>
              <w:lastRenderedPageBreak/>
              <w:t>Effective Date.  Development Security shall be in the form of cash or a Letter of Credit.</w:t>
            </w:r>
          </w:p>
          <w:p w14:paraId="4EEA38C3" w14:textId="77777777" w:rsidR="00C2274B" w:rsidRDefault="00C2274B" w:rsidP="00C2274B">
            <w:pPr>
              <w:spacing w:before="120" w:after="120"/>
              <w:jc w:val="both"/>
              <w:rPr>
                <w:color w:val="000000"/>
              </w:rPr>
            </w:pPr>
            <w:r w:rsidRPr="006B5B11">
              <w:rPr>
                <w:color w:val="000000"/>
              </w:rPr>
              <w:t xml:space="preserve">To secure its obligations under this </w:t>
            </w:r>
            <w:r>
              <w:rPr>
                <w:color w:val="000000"/>
              </w:rPr>
              <w:t>PPA</w:t>
            </w:r>
            <w:r w:rsidRPr="006B5B11">
              <w:rPr>
                <w:color w:val="000000"/>
              </w:rPr>
              <w:t>, Seller shall deliver Performance Security to Buyer on or before the Commercial Operation Date.</w:t>
            </w:r>
          </w:p>
          <w:p w14:paraId="3BD36D5D" w14:textId="6190046D" w:rsidR="009D7867" w:rsidRPr="006B5B11" w:rsidRDefault="009D7867" w:rsidP="00C2274B">
            <w:pPr>
              <w:spacing w:before="120" w:after="120"/>
              <w:jc w:val="both"/>
              <w:rPr>
                <w:color w:val="000000"/>
              </w:rPr>
            </w:pPr>
            <w:r w:rsidRPr="006B5B11">
              <w:rPr>
                <w:color w:val="000000"/>
              </w:rPr>
              <w:t xml:space="preserve">Within five (5) Business Days following any draw by Buyer on the Development Security or the </w:t>
            </w:r>
            <w:r>
              <w:rPr>
                <w:color w:val="000000"/>
              </w:rPr>
              <w:t>Performance</w:t>
            </w:r>
            <w:r w:rsidRPr="006B5B11">
              <w:rPr>
                <w:color w:val="000000"/>
              </w:rPr>
              <w:t xml:space="preserve"> Security, Seller shall replenish the amount drawn such that the security is restored to the applicable amount.</w:t>
            </w:r>
          </w:p>
        </w:tc>
      </w:tr>
      <w:tr w:rsidR="00C2274B" w:rsidRPr="006B5B11" w14:paraId="40CFF784" w14:textId="77777777" w:rsidTr="0080155D">
        <w:tc>
          <w:tcPr>
            <w:tcW w:w="3055" w:type="dxa"/>
          </w:tcPr>
          <w:p w14:paraId="3AF6EDC8" w14:textId="780483C3" w:rsidR="00C2274B" w:rsidRPr="006B5B11" w:rsidRDefault="00C2274B" w:rsidP="00C2274B">
            <w:pPr>
              <w:spacing w:before="120"/>
              <w:rPr>
                <w:b/>
              </w:rPr>
            </w:pPr>
            <w:r w:rsidRPr="006B5B11">
              <w:rPr>
                <w:b/>
              </w:rPr>
              <w:lastRenderedPageBreak/>
              <w:t>Prevailing Wage:</w:t>
            </w:r>
          </w:p>
        </w:tc>
        <w:tc>
          <w:tcPr>
            <w:tcW w:w="6295" w:type="dxa"/>
          </w:tcPr>
          <w:p w14:paraId="2E0CEC3F" w14:textId="77777777" w:rsidR="00C2274B" w:rsidRPr="006B5B11" w:rsidRDefault="00C2274B" w:rsidP="00C2274B">
            <w:pPr>
              <w:spacing w:before="120" w:after="120"/>
              <w:jc w:val="both"/>
            </w:pPr>
            <w:r w:rsidRPr="006B5B11">
              <w:t>Seller shall comply with all federal, state and local laws, statutes, ordinances, rules and regulations, and the orders and decrees of any courts or administrative bodies or tribunals, including, without limitation employment discrimination laws and prevailing wage laws.</w:t>
            </w:r>
          </w:p>
        </w:tc>
      </w:tr>
      <w:tr w:rsidR="00F24DA9" w:rsidRPr="006B5B11" w14:paraId="5DB76E77" w14:textId="77777777" w:rsidTr="0080155D">
        <w:tc>
          <w:tcPr>
            <w:tcW w:w="3055" w:type="dxa"/>
          </w:tcPr>
          <w:p w14:paraId="2AA4B328" w14:textId="643B75A7" w:rsidR="00F24DA9" w:rsidRPr="006B5B11" w:rsidRDefault="00F24DA9" w:rsidP="00C2274B">
            <w:pPr>
              <w:spacing w:before="120"/>
              <w:rPr>
                <w:b/>
              </w:rPr>
            </w:pPr>
            <w:r w:rsidRPr="00DC1223">
              <w:rPr>
                <w:b/>
                <w:bCs/>
              </w:rPr>
              <w:t>Diversity Reporting</w:t>
            </w:r>
            <w:r>
              <w:t xml:space="preserve"> </w:t>
            </w:r>
          </w:p>
        </w:tc>
        <w:tc>
          <w:tcPr>
            <w:tcW w:w="6295" w:type="dxa"/>
          </w:tcPr>
          <w:p w14:paraId="0B79E0F3" w14:textId="2D69C0F5" w:rsidR="00F24DA9" w:rsidRPr="005721ED" w:rsidRDefault="00F11CF6" w:rsidP="00C2274B">
            <w:pPr>
              <w:spacing w:before="120" w:after="120"/>
              <w:jc w:val="both"/>
              <w:rPr>
                <w:i/>
                <w:iCs/>
              </w:rPr>
            </w:pPr>
            <w:r>
              <w:t xml:space="preserve">Seller shall be required under the PPA to </w:t>
            </w:r>
            <w:r w:rsidRPr="008924F7">
              <w:t xml:space="preserve">complete the Supplier Diversity and Labor Practices questionnaire in MCE’s Offer Form, or a similar </w:t>
            </w:r>
            <w:r>
              <w:t>questionnaire</w:t>
            </w:r>
            <w:r w:rsidRPr="00201C8F">
              <w:t xml:space="preserve">, </w:t>
            </w:r>
            <w:r>
              <w:t xml:space="preserve">and agrees to comply with </w:t>
            </w:r>
            <w:r w:rsidRPr="00201C8F">
              <w:t>similar regular reporting requirements</w:t>
            </w:r>
            <w:r>
              <w:t xml:space="preserve"> related to diversity and labor practices</w:t>
            </w:r>
            <w:r w:rsidR="005721ED" w:rsidRPr="005556A7">
              <w:t xml:space="preserve">.  </w:t>
            </w:r>
          </w:p>
        </w:tc>
      </w:tr>
      <w:tr w:rsidR="00C2274B" w:rsidRPr="006B5B11" w14:paraId="78291302" w14:textId="77777777" w:rsidTr="0080155D">
        <w:tc>
          <w:tcPr>
            <w:tcW w:w="3055" w:type="dxa"/>
          </w:tcPr>
          <w:p w14:paraId="081AC99E" w14:textId="4C86560C" w:rsidR="00C2274B" w:rsidRPr="006B5B11" w:rsidRDefault="00C2274B" w:rsidP="00C2274B">
            <w:pPr>
              <w:spacing w:before="120"/>
              <w:rPr>
                <w:b/>
              </w:rPr>
            </w:pPr>
            <w:r w:rsidRPr="006B5B11">
              <w:rPr>
                <w:b/>
              </w:rPr>
              <w:t>Site Control:</w:t>
            </w:r>
          </w:p>
        </w:tc>
        <w:tc>
          <w:tcPr>
            <w:tcW w:w="6295" w:type="dxa"/>
          </w:tcPr>
          <w:p w14:paraId="06B5667A" w14:textId="43209243" w:rsidR="00C2274B" w:rsidRPr="006B5B11" w:rsidRDefault="00C2274B" w:rsidP="00C2274B">
            <w:pPr>
              <w:spacing w:before="120" w:after="120"/>
              <w:jc w:val="both"/>
            </w:pPr>
            <w:r w:rsidRPr="006B5B11">
              <w:t xml:space="preserve">Seller shall maintain site control </w:t>
            </w:r>
            <w:r w:rsidR="00D85FEF">
              <w:t xml:space="preserve">of the Facility </w:t>
            </w:r>
            <w:r w:rsidRPr="006B5B11">
              <w:t>throughout the Delivery Term.</w:t>
            </w:r>
          </w:p>
        </w:tc>
      </w:tr>
      <w:tr w:rsidR="00C2274B" w:rsidRPr="006B5B11" w14:paraId="0D242E40" w14:textId="77777777" w:rsidTr="0080155D">
        <w:tc>
          <w:tcPr>
            <w:tcW w:w="3055" w:type="dxa"/>
            <w:tcBorders>
              <w:bottom w:val="single" w:sz="4" w:space="0" w:color="auto"/>
            </w:tcBorders>
          </w:tcPr>
          <w:p w14:paraId="1F93DAA6" w14:textId="0B0608C8" w:rsidR="00C2274B" w:rsidRPr="006B5B11" w:rsidRDefault="00C2274B" w:rsidP="00C2274B">
            <w:pPr>
              <w:spacing w:before="120"/>
              <w:rPr>
                <w:b/>
              </w:rPr>
            </w:pPr>
            <w:r w:rsidRPr="006B5B11">
              <w:rPr>
                <w:b/>
              </w:rPr>
              <w:t>Assignment:</w:t>
            </w:r>
          </w:p>
          <w:p w14:paraId="0637D033" w14:textId="77777777" w:rsidR="00C2274B" w:rsidRPr="006B5B11" w:rsidRDefault="00C2274B" w:rsidP="00C2274B">
            <w:pPr>
              <w:spacing w:before="120"/>
              <w:rPr>
                <w:b/>
              </w:rPr>
            </w:pPr>
          </w:p>
        </w:tc>
        <w:tc>
          <w:tcPr>
            <w:tcW w:w="6295" w:type="dxa"/>
            <w:tcBorders>
              <w:bottom w:val="single" w:sz="4" w:space="0" w:color="auto"/>
            </w:tcBorders>
          </w:tcPr>
          <w:p w14:paraId="3D16FDB5" w14:textId="451CE7BA" w:rsidR="00C2274B" w:rsidRPr="006B5B11" w:rsidRDefault="00C2274B" w:rsidP="00C2274B">
            <w:pPr>
              <w:spacing w:before="120" w:after="120"/>
              <w:jc w:val="both"/>
            </w:pPr>
            <w:r w:rsidRPr="006B5B11">
              <w:t xml:space="preserve">Neither party may assign the </w:t>
            </w:r>
            <w:r>
              <w:t>PPA</w:t>
            </w:r>
            <w:r w:rsidRPr="006B5B11">
              <w:t xml:space="preserve"> without prior written consent of the other party, which shall not be unreasonably withheld. </w:t>
            </w:r>
          </w:p>
          <w:p w14:paraId="360FE4B1" w14:textId="6AD048A4" w:rsidR="00C2274B" w:rsidRPr="006B5B11" w:rsidRDefault="00C2274B" w:rsidP="00C2274B">
            <w:pPr>
              <w:spacing w:before="120" w:after="120"/>
              <w:jc w:val="both"/>
            </w:pPr>
            <w:r w:rsidRPr="006B5B11">
              <w:t>Any direct or indirect change of control of Seller (whether voluntary or by operation of law) will be deemed an assignment and will require the prior written consent of Buyer, which shall not be unreasonably withheld.</w:t>
            </w:r>
            <w:r w:rsidRPr="006B5B11" w:rsidDel="006A3E3C">
              <w:t xml:space="preserve"> </w:t>
            </w:r>
          </w:p>
          <w:p w14:paraId="19B34329" w14:textId="641BCC57" w:rsidR="00C2274B" w:rsidRPr="006B5B11" w:rsidRDefault="00C2274B" w:rsidP="00C2274B">
            <w:pPr>
              <w:spacing w:before="120" w:after="120"/>
              <w:jc w:val="both"/>
            </w:pPr>
            <w:r w:rsidRPr="006B5B11">
              <w:t xml:space="preserve">Seller shall pay Buyer’s out of pocket expenses, including reasonable attorneys’ fees, incurred to provide consents, estoppels, or other required documentation in connection with Seller’s financing for the </w:t>
            </w:r>
            <w:r w:rsidR="00B52B33">
              <w:t>Facility</w:t>
            </w:r>
            <w:r w:rsidRPr="006B5B11">
              <w:t xml:space="preserve">. Buyer will have no obligation to provide any consent, or enter into any agreement, that materially and adversely affects any of Buyer’s rights, benefits, risks or obligations under the definitive </w:t>
            </w:r>
            <w:r>
              <w:t>PPA</w:t>
            </w:r>
            <w:r w:rsidRPr="006B5B11">
              <w:t>.</w:t>
            </w:r>
          </w:p>
        </w:tc>
      </w:tr>
      <w:tr w:rsidR="00C2274B" w:rsidRPr="006B5B11" w14:paraId="423B57BD" w14:textId="77777777" w:rsidTr="0080155D">
        <w:tc>
          <w:tcPr>
            <w:tcW w:w="3055" w:type="dxa"/>
            <w:tcBorders>
              <w:bottom w:val="nil"/>
            </w:tcBorders>
          </w:tcPr>
          <w:p w14:paraId="0B35B04B" w14:textId="018B9543" w:rsidR="00C2274B" w:rsidRPr="006B5B11" w:rsidRDefault="00C2274B" w:rsidP="00C2274B">
            <w:pPr>
              <w:spacing w:before="120"/>
              <w:rPr>
                <w:b/>
              </w:rPr>
            </w:pPr>
            <w:r w:rsidRPr="006B5B11">
              <w:rPr>
                <w:b/>
                <w:bCs/>
              </w:rPr>
              <w:lastRenderedPageBreak/>
              <w:t>Dispute Resolution:</w:t>
            </w:r>
          </w:p>
        </w:tc>
        <w:tc>
          <w:tcPr>
            <w:tcW w:w="6295" w:type="dxa"/>
            <w:tcBorders>
              <w:bottom w:val="nil"/>
            </w:tcBorders>
          </w:tcPr>
          <w:p w14:paraId="25B8EBD0" w14:textId="132AC56D" w:rsidR="00C2274B" w:rsidRPr="006B5B11" w:rsidRDefault="00C2274B" w:rsidP="00C2274B">
            <w:pPr>
              <w:keepLines/>
              <w:spacing w:before="120" w:after="120"/>
              <w:jc w:val="both"/>
              <w:rPr>
                <w:w w:val="0"/>
              </w:rPr>
            </w:pPr>
            <w:r w:rsidRPr="006B5B11">
              <w:rPr>
                <w:w w:val="0"/>
              </w:rPr>
              <w:t xml:space="preserve">In the event of any dispute arising under the </w:t>
            </w:r>
            <w:r>
              <w:rPr>
                <w:w w:val="0"/>
              </w:rPr>
              <w:t>PPA</w:t>
            </w:r>
            <w:r w:rsidRPr="006B5B11">
              <w:rPr>
                <w:w w:val="0"/>
              </w:rPr>
              <w:t>, within ten (10) days following the receipt of a written notice from either Party identifying such dispute, the authorized members of the Parties’ senior management shall meet, negotiate and attempt, in good faith, to resolve the dispute quickly, informally and inexpensively. If the Parties are unable to resolve a dispute arising hereunder within thirty (30) days of initiating such discussions, the parties shall submit the dispute to mediation prior to seeking any and all remedi</w:t>
            </w:r>
            <w:r w:rsidR="009D7867">
              <w:rPr>
                <w:w w:val="0"/>
              </w:rPr>
              <w:t>es</w:t>
            </w:r>
            <w:r w:rsidRPr="006B5B11">
              <w:rPr>
                <w:w w:val="0"/>
              </w:rPr>
              <w:t xml:space="preserve"> available to it at Law in or equity. </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6300"/>
      </w:tblGrid>
      <w:tr w:rsidR="00E87731" w:rsidRPr="006B5B11" w14:paraId="2EA29587" w14:textId="77777777" w:rsidTr="0080155D">
        <w:tc>
          <w:tcPr>
            <w:tcW w:w="3055" w:type="dxa"/>
            <w:tcBorders>
              <w:top w:val="single" w:sz="4" w:space="0" w:color="auto"/>
              <w:left w:val="single" w:sz="4" w:space="0" w:color="auto"/>
              <w:bottom w:val="single" w:sz="4" w:space="0" w:color="auto"/>
              <w:right w:val="single" w:sz="4" w:space="0" w:color="auto"/>
            </w:tcBorders>
          </w:tcPr>
          <w:p w14:paraId="3260C2CE" w14:textId="62E9CC15" w:rsidR="00E87731" w:rsidRPr="006B5B11" w:rsidRDefault="00E87731" w:rsidP="00A6184C">
            <w:pPr>
              <w:keepNext/>
              <w:keepLines/>
              <w:spacing w:before="120"/>
              <w:rPr>
                <w:b/>
                <w:bCs/>
              </w:rPr>
            </w:pPr>
            <w:r w:rsidRPr="006B5B11">
              <w:rPr>
                <w:b/>
                <w:bCs/>
              </w:rPr>
              <w:t>Confidentiality</w:t>
            </w:r>
            <w:r w:rsidR="004C21D8" w:rsidRPr="006B5B11">
              <w:rPr>
                <w:b/>
                <w:bCs/>
              </w:rPr>
              <w:t>:</w:t>
            </w:r>
          </w:p>
        </w:tc>
        <w:tc>
          <w:tcPr>
            <w:tcW w:w="6300" w:type="dxa"/>
            <w:tcBorders>
              <w:top w:val="single" w:sz="4" w:space="0" w:color="auto"/>
              <w:left w:val="single" w:sz="4" w:space="0" w:color="auto"/>
              <w:bottom w:val="single" w:sz="4" w:space="0" w:color="auto"/>
              <w:right w:val="single" w:sz="4" w:space="0" w:color="auto"/>
            </w:tcBorders>
          </w:tcPr>
          <w:p w14:paraId="451E189A" w14:textId="03B0F8CB" w:rsidR="00E87731" w:rsidRPr="006B5B11" w:rsidRDefault="002F0E60" w:rsidP="00106528">
            <w:pPr>
              <w:keepLines/>
              <w:spacing w:before="120" w:after="120"/>
              <w:jc w:val="both"/>
            </w:pPr>
            <w:r w:rsidRPr="006B5B11">
              <w:t xml:space="preserve">Upon shortlisting, Seller shall execute a Mutual Non-Disclosure Agreement with </w:t>
            </w:r>
            <w:r w:rsidR="00826AE6" w:rsidRPr="006B5B11">
              <w:t>Buyer</w:t>
            </w:r>
            <w:r w:rsidRPr="006B5B11">
              <w:t>.</w:t>
            </w:r>
            <w:r w:rsidR="008E6DC1" w:rsidRPr="006B5B11">
              <w:t xml:space="preserve"> </w:t>
            </w:r>
            <w:r w:rsidR="00E87731" w:rsidRPr="006B5B11">
              <w:t xml:space="preserve"> </w:t>
            </w:r>
          </w:p>
        </w:tc>
      </w:tr>
      <w:tr w:rsidR="00E87731" w:rsidRPr="006B5B11" w14:paraId="15DA8487" w14:textId="77777777" w:rsidTr="0080155D">
        <w:tc>
          <w:tcPr>
            <w:tcW w:w="3055" w:type="dxa"/>
            <w:tcBorders>
              <w:top w:val="single" w:sz="4" w:space="0" w:color="auto"/>
              <w:left w:val="single" w:sz="4" w:space="0" w:color="auto"/>
              <w:bottom w:val="single" w:sz="4" w:space="0" w:color="auto"/>
              <w:right w:val="single" w:sz="4" w:space="0" w:color="auto"/>
            </w:tcBorders>
          </w:tcPr>
          <w:p w14:paraId="2E4F1DC2" w14:textId="3E4729EE" w:rsidR="00E87731" w:rsidRPr="006B5B11" w:rsidRDefault="00E87731" w:rsidP="00A6184C">
            <w:pPr>
              <w:spacing w:before="120"/>
              <w:rPr>
                <w:b/>
                <w:bCs/>
              </w:rPr>
            </w:pPr>
            <w:bookmarkStart w:id="0" w:name="_DV_M5"/>
            <w:bookmarkEnd w:id="0"/>
            <w:r w:rsidRPr="006B5B11">
              <w:rPr>
                <w:b/>
                <w:bCs/>
              </w:rPr>
              <w:t>Exclusivity</w:t>
            </w:r>
            <w:r w:rsidR="004C21D8" w:rsidRPr="006B5B11">
              <w:rPr>
                <w:b/>
                <w:bCs/>
              </w:rPr>
              <w:t>:</w:t>
            </w:r>
          </w:p>
        </w:tc>
        <w:tc>
          <w:tcPr>
            <w:tcW w:w="6300" w:type="dxa"/>
            <w:tcBorders>
              <w:top w:val="single" w:sz="4" w:space="0" w:color="auto"/>
              <w:left w:val="single" w:sz="4" w:space="0" w:color="auto"/>
              <w:bottom w:val="single" w:sz="4" w:space="0" w:color="auto"/>
              <w:right w:val="single" w:sz="4" w:space="0" w:color="auto"/>
            </w:tcBorders>
          </w:tcPr>
          <w:p w14:paraId="2C355A6B" w14:textId="746A42A1" w:rsidR="00E87731" w:rsidRPr="006B5B11" w:rsidRDefault="002F0E60" w:rsidP="00106528">
            <w:pPr>
              <w:keepLines/>
              <w:spacing w:before="120" w:after="120"/>
              <w:jc w:val="both"/>
            </w:pPr>
            <w:r w:rsidRPr="006B5B11">
              <w:t xml:space="preserve">Upon shortlisting, Seller shall execute an Exclusive Negotiating Agreement with </w:t>
            </w:r>
            <w:r w:rsidR="00826AE6" w:rsidRPr="006B5B11">
              <w:t>Buyer</w:t>
            </w:r>
            <w:r w:rsidRPr="006B5B11">
              <w:t xml:space="preserve">. </w:t>
            </w:r>
          </w:p>
        </w:tc>
      </w:tr>
      <w:tr w:rsidR="00D30F3E" w:rsidRPr="006B5B11" w14:paraId="0467DAA1" w14:textId="77777777" w:rsidTr="0080155D">
        <w:tc>
          <w:tcPr>
            <w:tcW w:w="3055" w:type="dxa"/>
            <w:tcBorders>
              <w:top w:val="single" w:sz="4" w:space="0" w:color="auto"/>
              <w:left w:val="single" w:sz="4" w:space="0" w:color="auto"/>
              <w:bottom w:val="single" w:sz="4" w:space="0" w:color="auto"/>
              <w:right w:val="single" w:sz="4" w:space="0" w:color="auto"/>
            </w:tcBorders>
          </w:tcPr>
          <w:p w14:paraId="514C591A" w14:textId="4B206EC5" w:rsidR="00D30F3E" w:rsidRPr="006B5B11" w:rsidRDefault="00D30F3E" w:rsidP="00A6184C">
            <w:pPr>
              <w:spacing w:before="120"/>
              <w:rPr>
                <w:b/>
                <w:bCs/>
              </w:rPr>
            </w:pPr>
            <w:r w:rsidRPr="006B5B11">
              <w:rPr>
                <w:b/>
              </w:rPr>
              <w:t>No Recourse to Members of Buyer</w:t>
            </w:r>
            <w:r w:rsidR="004C21D8" w:rsidRPr="006B5B11">
              <w:rPr>
                <w:b/>
              </w:rPr>
              <w:t>:</w:t>
            </w:r>
          </w:p>
        </w:tc>
        <w:tc>
          <w:tcPr>
            <w:tcW w:w="6300" w:type="dxa"/>
            <w:tcBorders>
              <w:top w:val="single" w:sz="4" w:space="0" w:color="auto"/>
              <w:left w:val="single" w:sz="4" w:space="0" w:color="auto"/>
              <w:bottom w:val="single" w:sz="4" w:space="0" w:color="auto"/>
              <w:right w:val="single" w:sz="4" w:space="0" w:color="auto"/>
            </w:tcBorders>
          </w:tcPr>
          <w:p w14:paraId="79030871" w14:textId="4D9EB1D3" w:rsidR="00D30F3E" w:rsidRPr="006B5B11" w:rsidRDefault="00D30F3E" w:rsidP="00106528">
            <w:pPr>
              <w:keepLines/>
              <w:spacing w:before="120" w:after="120"/>
              <w:jc w:val="both"/>
            </w:pPr>
            <w:r w:rsidRPr="006B5B11">
              <w:t>Buyer</w:t>
            </w:r>
            <w:r w:rsidR="00826AE6" w:rsidRPr="006B5B11">
              <w:t xml:space="preserve"> is</w:t>
            </w:r>
            <w:r w:rsidRPr="006B5B11">
              <w:t xml:space="preserve"> organized as a Joint Powers Authorit</w:t>
            </w:r>
            <w:r w:rsidR="000D50B2" w:rsidRPr="006B5B11">
              <w:t xml:space="preserve">ies </w:t>
            </w:r>
            <w:r w:rsidRPr="006B5B11">
              <w:t xml:space="preserve">in accordance with the Joint Exercise of Powers Act of the State of California (Government Code Section 6500, et seq.) pursuant to </w:t>
            </w:r>
            <w:r w:rsidR="00826AE6" w:rsidRPr="006B5B11">
              <w:t>its</w:t>
            </w:r>
            <w:r w:rsidRPr="006B5B11">
              <w:t xml:space="preserve"> Joint Powers Agreement and </w:t>
            </w:r>
            <w:r w:rsidR="00826AE6" w:rsidRPr="006B5B11">
              <w:t>is a</w:t>
            </w:r>
            <w:r w:rsidRPr="006B5B11">
              <w:t xml:space="preserve"> public entit</w:t>
            </w:r>
            <w:r w:rsidR="00826AE6" w:rsidRPr="006B5B11">
              <w:t>y</w:t>
            </w:r>
            <w:r w:rsidRPr="006B5B11">
              <w:t xml:space="preserve"> separate from </w:t>
            </w:r>
            <w:r w:rsidR="00826AE6" w:rsidRPr="006B5B11">
              <w:t>its</w:t>
            </w:r>
            <w:r w:rsidRPr="006B5B11">
              <w:t xml:space="preserve"> constituent members.</w:t>
            </w:r>
            <w:r w:rsidR="008E6DC1" w:rsidRPr="006B5B11">
              <w:t xml:space="preserve"> </w:t>
            </w:r>
            <w:r w:rsidRPr="006B5B11">
              <w:t>Buyer shall solely be responsible for all debts, obligations and liabilities accruing and arising out of this Agreement.</w:t>
            </w:r>
            <w:r w:rsidR="008E6DC1" w:rsidRPr="006B5B11">
              <w:t xml:space="preserve"> </w:t>
            </w:r>
            <w:r w:rsidRPr="006B5B11">
              <w:t xml:space="preserve">Seller shall have no rights and shall not make any claims, take any actions or assert any remedies against any of </w:t>
            </w:r>
            <w:r w:rsidR="00A9011A" w:rsidRPr="006B5B11">
              <w:t>Buyer’s</w:t>
            </w:r>
            <w:r w:rsidRPr="006B5B11">
              <w:t xml:space="preserve"> constituent members in connection with this Agreement.</w:t>
            </w:r>
          </w:p>
        </w:tc>
      </w:tr>
      <w:tr w:rsidR="00D30F3E" w:rsidRPr="006B5B11" w14:paraId="00FB12AE" w14:textId="77777777" w:rsidTr="0080155D">
        <w:tc>
          <w:tcPr>
            <w:tcW w:w="3055" w:type="dxa"/>
            <w:tcBorders>
              <w:top w:val="single" w:sz="4" w:space="0" w:color="auto"/>
              <w:left w:val="single" w:sz="4" w:space="0" w:color="auto"/>
              <w:bottom w:val="single" w:sz="4" w:space="0" w:color="auto"/>
              <w:right w:val="single" w:sz="4" w:space="0" w:color="auto"/>
            </w:tcBorders>
          </w:tcPr>
          <w:p w14:paraId="42BD04BD" w14:textId="36465734" w:rsidR="00D30F3E" w:rsidRPr="006B5B11" w:rsidRDefault="00D30F3E" w:rsidP="00A6184C">
            <w:pPr>
              <w:spacing w:before="120"/>
              <w:rPr>
                <w:b/>
              </w:rPr>
            </w:pPr>
            <w:r w:rsidRPr="006B5B11">
              <w:rPr>
                <w:b/>
              </w:rPr>
              <w:t>Force Majeure</w:t>
            </w:r>
            <w:r w:rsidR="004C21D8" w:rsidRPr="006B5B11">
              <w:rPr>
                <w:b/>
              </w:rPr>
              <w:t>:</w:t>
            </w:r>
          </w:p>
        </w:tc>
        <w:tc>
          <w:tcPr>
            <w:tcW w:w="6300" w:type="dxa"/>
            <w:tcBorders>
              <w:top w:val="single" w:sz="4" w:space="0" w:color="auto"/>
              <w:left w:val="single" w:sz="4" w:space="0" w:color="auto"/>
              <w:bottom w:val="single" w:sz="4" w:space="0" w:color="auto"/>
              <w:right w:val="single" w:sz="4" w:space="0" w:color="auto"/>
            </w:tcBorders>
          </w:tcPr>
          <w:p w14:paraId="234F8B89" w14:textId="77777777" w:rsidR="00D30F3E" w:rsidRPr="006B5B11" w:rsidRDefault="00D30F3E" w:rsidP="00B52B33">
            <w:pPr>
              <w:pStyle w:val="ArticleL3"/>
              <w:numPr>
                <w:ilvl w:val="0"/>
                <w:numId w:val="0"/>
              </w:numPr>
              <w:spacing w:before="120" w:after="120"/>
              <w:rPr>
                <w:szCs w:val="24"/>
              </w:rPr>
            </w:pPr>
            <w:r w:rsidRPr="006B5B11">
              <w:rPr>
                <w:szCs w:val="24"/>
              </w:rPr>
              <w:t>“</w:t>
            </w:r>
            <w:r w:rsidRPr="006B5B11">
              <w:rPr>
                <w:b/>
                <w:bCs/>
                <w:szCs w:val="24"/>
                <w:u w:val="single"/>
              </w:rPr>
              <w:t>Force Majeure Event</w:t>
            </w:r>
            <w:r w:rsidRPr="006B5B11">
              <w:rPr>
                <w:szCs w:val="24"/>
              </w:rPr>
              <w:t>” means any act or event that delays or prevents a Party from timely performing all or a portion of its obligations under this Agreement or from complying with all or a portion of the conditions under this Agreement if such act or event, despite the exercise of reasonable efforts, cannot be avoided by and is beyond the reasonable control (whether direct or indirect) of and without the fault or negligence of the Party relying thereon as justification for such delay, nonperformance, or noncompliance.</w:t>
            </w:r>
          </w:p>
          <w:p w14:paraId="686B8C87" w14:textId="2CDECAE5" w:rsidR="00D30F3E" w:rsidRPr="006B5B11" w:rsidRDefault="00D30F3E" w:rsidP="0098039F">
            <w:pPr>
              <w:pStyle w:val="Heading2"/>
              <w:numPr>
                <w:ilvl w:val="0"/>
                <w:numId w:val="0"/>
              </w:numPr>
              <w:tabs>
                <w:tab w:val="left" w:pos="1440"/>
              </w:tabs>
              <w:autoSpaceDE w:val="0"/>
              <w:autoSpaceDN w:val="0"/>
              <w:spacing w:before="120" w:after="120"/>
              <w:rPr>
                <w:b/>
                <w:bCs/>
                <w:szCs w:val="24"/>
                <w:u w:val="single"/>
              </w:rPr>
            </w:pPr>
            <w:r w:rsidRPr="006B5B11">
              <w:rPr>
                <w:szCs w:val="24"/>
              </w:rPr>
              <w:t>Notwithstanding the foregoing, the term “</w:t>
            </w:r>
            <w:r w:rsidRPr="006B5B11">
              <w:rPr>
                <w:b/>
                <w:szCs w:val="24"/>
                <w:u w:val="single"/>
              </w:rPr>
              <w:t>Force Majeure Event</w:t>
            </w:r>
            <w:r w:rsidRPr="006B5B11">
              <w:rPr>
                <w:szCs w:val="24"/>
              </w:rPr>
              <w:t xml:space="preserve">” does not include (i) economic conditions that render a Party’s performance of this Agreement at the Contract Price unprofitable or otherwise uneconomic (including Buyer’s ability to buy </w:t>
            </w:r>
            <w:r w:rsidR="005A5B1F" w:rsidRPr="006B5B11">
              <w:rPr>
                <w:szCs w:val="24"/>
              </w:rPr>
              <w:t>the Product</w:t>
            </w:r>
            <w:r w:rsidRPr="006B5B11">
              <w:rPr>
                <w:szCs w:val="24"/>
              </w:rPr>
              <w:t xml:space="preserve"> at a lower price, or Seller’s ability to sell </w:t>
            </w:r>
            <w:r w:rsidR="005A5B1F" w:rsidRPr="006B5B11">
              <w:rPr>
                <w:szCs w:val="24"/>
              </w:rPr>
              <w:t>Product</w:t>
            </w:r>
            <w:r w:rsidRPr="006B5B11">
              <w:rPr>
                <w:szCs w:val="24"/>
              </w:rPr>
              <w:t xml:space="preserve"> at a higher price, than the Contract Price); (ii) Seller’s inability to obtain permits or approvals of any type for the construction, operation, or maintenance of the </w:t>
            </w:r>
            <w:r w:rsidR="00DB5202">
              <w:rPr>
                <w:szCs w:val="24"/>
              </w:rPr>
              <w:t>Facility</w:t>
            </w:r>
            <w:r w:rsidRPr="006B5B11">
              <w:rPr>
                <w:szCs w:val="24"/>
              </w:rPr>
              <w:t xml:space="preserve">; (iii) </w:t>
            </w:r>
            <w:r w:rsidRPr="006B5B11">
              <w:rPr>
                <w:szCs w:val="24"/>
              </w:rPr>
              <w:lastRenderedPageBreak/>
              <w:t xml:space="preserve">the inability of a Party to make payments when due under this Agreement, unless the cause of such inability is an event that would otherwise constitute a Force Majeure Event as described above that disables physical or electronic facilities necessary to transfer funds to the payee Party; (iv) a Curtailment Period, except to the extent such Curtailment Period is caused by a Force Majeure Event; (v) Seller’s inability to obtain sufficient labor, equipment, materials, or other resources to build or operate the </w:t>
            </w:r>
            <w:r w:rsidR="00DB5202">
              <w:rPr>
                <w:szCs w:val="24"/>
              </w:rPr>
              <w:t>Facility</w:t>
            </w:r>
            <w:r w:rsidR="002B3AD3">
              <w:rPr>
                <w:szCs w:val="24"/>
              </w:rPr>
              <w:t xml:space="preserve"> </w:t>
            </w:r>
            <w:r w:rsidRPr="006B5B11">
              <w:rPr>
                <w:szCs w:val="24"/>
              </w:rPr>
              <w:t xml:space="preserve">except to the extent such inability is caused by a Force Majeure Event; (vi) a strike, work stoppage or labor dispute limited only to any one or more of Seller, Seller’s Affiliates, Seller’s contractors, their subcontractors thereof or any other third party employed by Seller to work on the </w:t>
            </w:r>
            <w:r w:rsidR="00DB5202">
              <w:rPr>
                <w:szCs w:val="24"/>
              </w:rPr>
              <w:t>Facility</w:t>
            </w:r>
            <w:r w:rsidRPr="006B5B11">
              <w:rPr>
                <w:szCs w:val="24"/>
              </w:rPr>
              <w:t xml:space="preserve">; (vii) any equipment failure except if such equipment failure is caused by a Force Majeure Event; or (viii) </w:t>
            </w:r>
            <w:r w:rsidR="00865D23">
              <w:rPr>
                <w:szCs w:val="24"/>
              </w:rPr>
              <w:t xml:space="preserve">events </w:t>
            </w:r>
            <w:r w:rsidR="0042707B">
              <w:rPr>
                <w:szCs w:val="24"/>
              </w:rPr>
              <w:t xml:space="preserve">otherwise constituting a Force Majeure Event that </w:t>
            </w:r>
            <w:r w:rsidR="00865D23">
              <w:rPr>
                <w:szCs w:val="24"/>
              </w:rPr>
              <w:t xml:space="preserve">prevent </w:t>
            </w:r>
            <w:r w:rsidRPr="006B5B11">
              <w:rPr>
                <w:szCs w:val="24"/>
              </w:rPr>
              <w:t>Seller</w:t>
            </w:r>
            <w:r w:rsidR="00865D23">
              <w:rPr>
                <w:szCs w:val="24"/>
              </w:rPr>
              <w:t xml:space="preserve"> from achieving </w:t>
            </w:r>
            <w:r w:rsidRPr="006B5B11">
              <w:rPr>
                <w:szCs w:val="24"/>
              </w:rPr>
              <w:t xml:space="preserve">Construction Start </w:t>
            </w:r>
            <w:r w:rsidR="00865D23">
              <w:rPr>
                <w:szCs w:val="24"/>
              </w:rPr>
              <w:t xml:space="preserve">or Commercial Operation </w:t>
            </w:r>
            <w:r w:rsidRPr="006B5B11">
              <w:rPr>
                <w:szCs w:val="24"/>
              </w:rPr>
              <w:t xml:space="preserve">of </w:t>
            </w:r>
            <w:r w:rsidR="00B52B33">
              <w:rPr>
                <w:szCs w:val="24"/>
              </w:rPr>
              <w:t xml:space="preserve">the </w:t>
            </w:r>
            <w:r w:rsidR="00DB5202">
              <w:rPr>
                <w:szCs w:val="24"/>
              </w:rPr>
              <w:t>Facility</w:t>
            </w:r>
            <w:r w:rsidR="00865D23">
              <w:rPr>
                <w:szCs w:val="24"/>
              </w:rPr>
              <w:t xml:space="preserve">, except to the extent expressly permitted as an extension under the </w:t>
            </w:r>
            <w:r w:rsidR="009B14C8">
              <w:rPr>
                <w:szCs w:val="24"/>
              </w:rPr>
              <w:t>PPA</w:t>
            </w:r>
            <w:r w:rsidRPr="006B5B11">
              <w:rPr>
                <w:szCs w:val="24"/>
              </w:rPr>
              <w:t>.</w:t>
            </w:r>
          </w:p>
        </w:tc>
      </w:tr>
      <w:tr w:rsidR="00D30F3E" w:rsidRPr="006B5B11" w14:paraId="6F682748" w14:textId="77777777" w:rsidTr="0080155D">
        <w:tc>
          <w:tcPr>
            <w:tcW w:w="3055" w:type="dxa"/>
            <w:tcBorders>
              <w:top w:val="single" w:sz="4" w:space="0" w:color="auto"/>
              <w:left w:val="single" w:sz="4" w:space="0" w:color="auto"/>
              <w:bottom w:val="single" w:sz="4" w:space="0" w:color="auto"/>
              <w:right w:val="single" w:sz="4" w:space="0" w:color="auto"/>
            </w:tcBorders>
          </w:tcPr>
          <w:p w14:paraId="2C893ECB" w14:textId="286ED226" w:rsidR="00D30F3E" w:rsidRPr="006B5B11" w:rsidRDefault="00D30F3E" w:rsidP="00A6184C">
            <w:pPr>
              <w:spacing w:before="120"/>
              <w:rPr>
                <w:b/>
              </w:rPr>
            </w:pPr>
            <w:r w:rsidRPr="006B5B11">
              <w:rPr>
                <w:b/>
              </w:rPr>
              <w:lastRenderedPageBreak/>
              <w:t>Other Standard Contract Terms to be included in the</w:t>
            </w:r>
            <w:r w:rsidR="00826AE6" w:rsidRPr="006B5B11">
              <w:rPr>
                <w:b/>
              </w:rPr>
              <w:t xml:space="preserve"> </w:t>
            </w:r>
            <w:r w:rsidR="009B14C8">
              <w:rPr>
                <w:b/>
              </w:rPr>
              <w:t>PPA</w:t>
            </w:r>
            <w:r w:rsidR="00653749" w:rsidRPr="006B5B11">
              <w:rPr>
                <w:b/>
              </w:rPr>
              <w:t>:</w:t>
            </w:r>
          </w:p>
        </w:tc>
        <w:tc>
          <w:tcPr>
            <w:tcW w:w="6300" w:type="dxa"/>
            <w:tcBorders>
              <w:top w:val="single" w:sz="4" w:space="0" w:color="auto"/>
              <w:left w:val="single" w:sz="4" w:space="0" w:color="auto"/>
              <w:bottom w:val="single" w:sz="4" w:space="0" w:color="auto"/>
              <w:right w:val="single" w:sz="4" w:space="0" w:color="auto"/>
            </w:tcBorders>
          </w:tcPr>
          <w:p w14:paraId="61D5F17B" w14:textId="39C3EFE1" w:rsidR="00D30F3E" w:rsidRPr="006B5B11" w:rsidRDefault="00D30F3E" w:rsidP="0098039F">
            <w:pPr>
              <w:pStyle w:val="ListParagraph"/>
              <w:numPr>
                <w:ilvl w:val="0"/>
                <w:numId w:val="8"/>
              </w:numPr>
              <w:spacing w:before="120" w:after="120"/>
              <w:ind w:left="341" w:hanging="341"/>
              <w:contextualSpacing w:val="0"/>
              <w:jc w:val="both"/>
            </w:pPr>
            <w:r w:rsidRPr="006B5B11">
              <w:rPr>
                <w:u w:val="single"/>
              </w:rPr>
              <w:t>Event of Default</w:t>
            </w:r>
            <w:r w:rsidRPr="006B5B11">
              <w:t xml:space="preserve">: Events of Default shall include, but not be limited to, failure to pay any amounts when due, breach of representations and warranties, failure to perform covenants and material obligations in the </w:t>
            </w:r>
            <w:r w:rsidR="009B14C8">
              <w:t>PPA</w:t>
            </w:r>
            <w:r w:rsidRPr="006B5B11">
              <w:t xml:space="preserve">, bankruptcy, </w:t>
            </w:r>
            <w:r w:rsidR="00B52B33">
              <w:t xml:space="preserve">and </w:t>
            </w:r>
            <w:r w:rsidRPr="006B5B11">
              <w:t xml:space="preserve">assignment </w:t>
            </w:r>
            <w:r w:rsidR="00826AE6" w:rsidRPr="006B5B11">
              <w:t xml:space="preserve">other than as </w:t>
            </w:r>
            <w:r w:rsidRPr="006B5B11">
              <w:t xml:space="preserve">permitted by the </w:t>
            </w:r>
            <w:r w:rsidR="009B14C8">
              <w:t>PPA</w:t>
            </w:r>
            <w:r w:rsidR="005A5B1F" w:rsidRPr="006B5B11">
              <w:t>.  In addition, it shall be a Seller Event of Default if COD is not achieved within</w:t>
            </w:r>
            <w:r w:rsidRPr="006B5B11">
              <w:t xml:space="preserve"> achieved within 60 days after the Guaranteed COD.</w:t>
            </w:r>
            <w:r w:rsidR="008E6DC1" w:rsidRPr="006B5B11">
              <w:t xml:space="preserve"> </w:t>
            </w:r>
          </w:p>
          <w:p w14:paraId="679DD79E" w14:textId="339ECD4D" w:rsidR="00D30F3E" w:rsidRPr="006B5B11" w:rsidRDefault="00D30F3E" w:rsidP="0098039F">
            <w:pPr>
              <w:pStyle w:val="ListParagraph"/>
              <w:numPr>
                <w:ilvl w:val="0"/>
                <w:numId w:val="8"/>
              </w:numPr>
              <w:spacing w:before="120" w:after="120"/>
              <w:ind w:left="341" w:hanging="341"/>
              <w:contextualSpacing w:val="0"/>
              <w:jc w:val="both"/>
            </w:pPr>
            <w:r w:rsidRPr="006B5B11">
              <w:rPr>
                <w:u w:val="single"/>
              </w:rPr>
              <w:t>Indemnification</w:t>
            </w:r>
            <w:r w:rsidRPr="006B5B11">
              <w:t>:</w:t>
            </w:r>
            <w:r w:rsidR="00006EEE" w:rsidRPr="006B5B11">
              <w:t xml:space="preserve"> Mutual indemnification for third party claims arising from negligence, willful misconduct, or breach of the </w:t>
            </w:r>
            <w:r w:rsidR="009B14C8">
              <w:t>PPA</w:t>
            </w:r>
            <w:r w:rsidR="00006EEE" w:rsidRPr="006B5B11">
              <w:t>.</w:t>
            </w:r>
            <w:r w:rsidRPr="006B5B11">
              <w:t xml:space="preserve"> </w:t>
            </w:r>
          </w:p>
          <w:p w14:paraId="2113056E" w14:textId="77777777" w:rsidR="007A21EB" w:rsidRPr="006B5B11" w:rsidRDefault="00D30F3E" w:rsidP="0098039F">
            <w:pPr>
              <w:pStyle w:val="ListParagraph"/>
              <w:numPr>
                <w:ilvl w:val="0"/>
                <w:numId w:val="8"/>
              </w:numPr>
              <w:spacing w:before="120" w:after="120"/>
              <w:ind w:left="341" w:hanging="341"/>
              <w:contextualSpacing w:val="0"/>
              <w:jc w:val="both"/>
            </w:pPr>
            <w:r w:rsidRPr="006B5B11">
              <w:rPr>
                <w:u w:val="single"/>
              </w:rPr>
              <w:t>Governing Law</w:t>
            </w:r>
            <w:r w:rsidRPr="006B5B11">
              <w:t>: State of California</w:t>
            </w:r>
          </w:p>
          <w:p w14:paraId="283AB616" w14:textId="1F9A29CD" w:rsidR="00D30F3E" w:rsidRPr="006B5B11" w:rsidRDefault="00D30F3E" w:rsidP="0098039F">
            <w:pPr>
              <w:pStyle w:val="ListParagraph"/>
              <w:numPr>
                <w:ilvl w:val="0"/>
                <w:numId w:val="8"/>
              </w:numPr>
              <w:spacing w:before="120" w:after="120"/>
              <w:ind w:left="341" w:hanging="341"/>
              <w:contextualSpacing w:val="0"/>
              <w:jc w:val="both"/>
            </w:pPr>
            <w:r w:rsidRPr="006B5B11">
              <w:rPr>
                <w:u w:val="single"/>
              </w:rPr>
              <w:t>Venue</w:t>
            </w:r>
            <w:r w:rsidRPr="006B5B11">
              <w:t>:</w:t>
            </w:r>
            <w:r w:rsidR="008E6DC1" w:rsidRPr="006B5B11">
              <w:t xml:space="preserve"> </w:t>
            </w:r>
            <w:r w:rsidR="00B20CE2" w:rsidRPr="006B5B11">
              <w:t>San Francisco</w:t>
            </w:r>
            <w:r w:rsidR="009E049D" w:rsidRPr="006B5B11">
              <w:t xml:space="preserve"> </w:t>
            </w:r>
            <w:r w:rsidRPr="006B5B11">
              <w:t>County</w:t>
            </w:r>
          </w:p>
        </w:tc>
      </w:tr>
    </w:tbl>
    <w:p w14:paraId="5FC6BCEC" w14:textId="77777777" w:rsidR="00F3434A" w:rsidRPr="006B5B11" w:rsidRDefault="00F3434A" w:rsidP="00F3434A"/>
    <w:p w14:paraId="69669960" w14:textId="40F7CF86" w:rsidR="00006EEE" w:rsidRPr="006B5B11" w:rsidRDefault="00006EEE" w:rsidP="00C26A98">
      <w:pPr>
        <w:pStyle w:val="ListParagraph"/>
        <w:numPr>
          <w:ilvl w:val="0"/>
          <w:numId w:val="47"/>
        </w:numPr>
        <w:ind w:left="720" w:hanging="720"/>
        <w:jc w:val="both"/>
        <w:rPr>
          <w:b/>
          <w:snapToGrid w:val="0"/>
          <w:u w:val="single"/>
        </w:rPr>
      </w:pPr>
      <w:r w:rsidRPr="006B5B11">
        <w:rPr>
          <w:b/>
          <w:snapToGrid w:val="0"/>
          <w:u w:val="single"/>
        </w:rPr>
        <w:t>Additional Term Sheet Provisions</w:t>
      </w:r>
    </w:p>
    <w:p w14:paraId="50F79806" w14:textId="77777777" w:rsidR="00697F95" w:rsidRPr="006B5B11" w:rsidRDefault="00697F95" w:rsidP="00697F95">
      <w:pPr>
        <w:pStyle w:val="ListParagraph"/>
        <w:ind w:left="106"/>
        <w:jc w:val="both"/>
        <w:rPr>
          <w:b/>
          <w:snapToGrid w:val="0"/>
        </w:rPr>
      </w:pPr>
    </w:p>
    <w:p w14:paraId="2016DAEF" w14:textId="1DC13D66" w:rsidR="00006EEE" w:rsidRPr="006B5B11" w:rsidRDefault="00006EEE" w:rsidP="00C26A98">
      <w:pPr>
        <w:pStyle w:val="ListParagraph"/>
        <w:numPr>
          <w:ilvl w:val="0"/>
          <w:numId w:val="46"/>
        </w:numPr>
        <w:ind w:left="720" w:hanging="720"/>
        <w:jc w:val="both"/>
      </w:pPr>
      <w:r w:rsidRPr="006B5B11">
        <w:rPr>
          <w:b/>
          <w:snapToGrid w:val="0"/>
        </w:rPr>
        <w:t>Neither Party Obligated to Enter Into Proposed Transaction</w:t>
      </w:r>
      <w:r w:rsidRPr="006B5B11">
        <w:rPr>
          <w:snapToGrid w:val="0"/>
        </w:rPr>
        <w:t>.</w:t>
      </w:r>
      <w:r w:rsidRPr="006B5B11">
        <w:t xml:space="preserve">  </w:t>
      </w:r>
      <w:r w:rsidRPr="006B5B11">
        <w:rPr>
          <w:snapToGrid w:val="0"/>
        </w:rPr>
        <w:t>This Term Sheet is intended to provide an overview of the Proposed Transaction and is not intended to constitute a binding contract or an offer to enter into a</w:t>
      </w:r>
      <w:r w:rsidR="005A5B1F" w:rsidRPr="006B5B11">
        <w:rPr>
          <w:snapToGrid w:val="0"/>
        </w:rPr>
        <w:t xml:space="preserve">n </w:t>
      </w:r>
      <w:r w:rsidR="009B14C8">
        <w:rPr>
          <w:snapToGrid w:val="0"/>
        </w:rPr>
        <w:t>PPA</w:t>
      </w:r>
      <w:r w:rsidRPr="006B5B11">
        <w:rPr>
          <w:snapToGrid w:val="0"/>
        </w:rPr>
        <w:t xml:space="preserve"> with respect to the Proposed Transaction and does not obligate either Party to enter into the Proposed Transaction or execute any agreement, including the </w:t>
      </w:r>
      <w:r w:rsidR="009B14C8">
        <w:rPr>
          <w:snapToGrid w:val="0"/>
        </w:rPr>
        <w:t>PPA</w:t>
      </w:r>
      <w:r w:rsidRPr="006B5B11">
        <w:rPr>
          <w:snapToGrid w:val="0"/>
        </w:rPr>
        <w:t xml:space="preserve">, in connection with the Proposed Transaction.  Neither Party will be deemed to have agreed to the </w:t>
      </w:r>
      <w:r w:rsidR="009B14C8">
        <w:rPr>
          <w:snapToGrid w:val="0"/>
        </w:rPr>
        <w:t>PPA</w:t>
      </w:r>
      <w:r w:rsidRPr="006B5B11">
        <w:rPr>
          <w:snapToGrid w:val="0"/>
        </w:rPr>
        <w:t xml:space="preserve"> and will not be bound by any term thereof, unless and until authorized representatives of both Parties execute final definitive documents, enforceable in accordance with their terms.</w:t>
      </w:r>
    </w:p>
    <w:p w14:paraId="27D9BB3F" w14:textId="77777777" w:rsidR="00006EEE" w:rsidRPr="006B5B11" w:rsidRDefault="00006EEE" w:rsidP="00C26A98">
      <w:pPr>
        <w:pStyle w:val="ListParagraph"/>
        <w:ind w:hanging="720"/>
        <w:rPr>
          <w:b/>
          <w:snapToGrid w:val="0"/>
        </w:rPr>
      </w:pPr>
    </w:p>
    <w:p w14:paraId="66F1311B" w14:textId="77777777" w:rsidR="00006EEE" w:rsidRPr="006B5B11" w:rsidRDefault="00006EEE" w:rsidP="00C26A98">
      <w:pPr>
        <w:pStyle w:val="ListParagraph"/>
        <w:numPr>
          <w:ilvl w:val="0"/>
          <w:numId w:val="46"/>
        </w:numPr>
        <w:ind w:left="720" w:hanging="720"/>
        <w:jc w:val="both"/>
      </w:pPr>
      <w:r w:rsidRPr="006B5B11">
        <w:rPr>
          <w:b/>
          <w:snapToGrid w:val="0"/>
        </w:rPr>
        <w:lastRenderedPageBreak/>
        <w:t>Expenses</w:t>
      </w:r>
      <w:r w:rsidRPr="006B5B11">
        <w:rPr>
          <w:snapToGrid w:val="0"/>
        </w:rPr>
        <w:t>.  Each Party will pay its own costs and expenses (whether internal or out-of-pocket, and whether for legal, financial, technical or other consultants, or other purposes) in connection with the Term Sheet and any definitive agreements.</w:t>
      </w:r>
    </w:p>
    <w:p w14:paraId="4DF5D51D" w14:textId="77777777" w:rsidR="00006EEE" w:rsidRPr="006B5B11" w:rsidRDefault="00006EEE" w:rsidP="00C26A98">
      <w:pPr>
        <w:ind w:left="720" w:hanging="720"/>
        <w:jc w:val="both"/>
      </w:pPr>
    </w:p>
    <w:p w14:paraId="6AFDA07C" w14:textId="195D4454" w:rsidR="00006EEE" w:rsidRPr="006B5B11" w:rsidRDefault="00006EEE" w:rsidP="00C26A98">
      <w:pPr>
        <w:pStyle w:val="ListParagraph"/>
        <w:numPr>
          <w:ilvl w:val="0"/>
          <w:numId w:val="46"/>
        </w:numPr>
        <w:ind w:left="720" w:hanging="720"/>
        <w:jc w:val="both"/>
      </w:pPr>
      <w:r w:rsidRPr="006B5B11">
        <w:rPr>
          <w:b/>
          <w:snapToGrid w:val="0"/>
        </w:rPr>
        <w:t>Termination</w:t>
      </w:r>
      <w:r w:rsidRPr="006B5B11">
        <w:rPr>
          <w:snapToGrid w:val="0"/>
        </w:rPr>
        <w:t xml:space="preserve">.  This Term Sheet will terminate upon the earlier of (a) execution of the </w:t>
      </w:r>
      <w:r w:rsidR="009B14C8">
        <w:rPr>
          <w:snapToGrid w:val="0"/>
        </w:rPr>
        <w:t>PPA</w:t>
      </w:r>
      <w:r w:rsidRPr="006B5B11">
        <w:rPr>
          <w:snapToGrid w:val="0"/>
        </w:rPr>
        <w:t xml:space="preserve"> or (b) expiration of the Exclusivity Deadline (as defined in the Exclusive Negotiating Agreement), as such Exclusivity Deadline may be extended by the Parties in accordance with the Exclusive Negotiating Agreement.</w:t>
      </w:r>
    </w:p>
    <w:p w14:paraId="1F02A4EB" w14:textId="77777777" w:rsidR="00006EEE" w:rsidRPr="006B5B11" w:rsidRDefault="00006EEE" w:rsidP="00C26A98">
      <w:pPr>
        <w:pStyle w:val="ListParagraph"/>
        <w:ind w:hanging="720"/>
        <w:jc w:val="both"/>
      </w:pPr>
    </w:p>
    <w:p w14:paraId="437D8631" w14:textId="77777777" w:rsidR="00006EEE" w:rsidRPr="006B5B11" w:rsidRDefault="00006EEE" w:rsidP="00C26A98">
      <w:pPr>
        <w:pStyle w:val="ListParagraph"/>
        <w:numPr>
          <w:ilvl w:val="0"/>
          <w:numId w:val="46"/>
        </w:numPr>
        <w:ind w:left="720" w:hanging="720"/>
        <w:jc w:val="both"/>
      </w:pPr>
      <w:r w:rsidRPr="006B5B11">
        <w:rPr>
          <w:b/>
          <w:snapToGrid w:val="0"/>
        </w:rPr>
        <w:t>Governing Law</w:t>
      </w:r>
      <w:r w:rsidRPr="006B5B11">
        <w:rPr>
          <w:snapToGrid w:val="0"/>
        </w:rPr>
        <w:t>.  This Term Sheet is governed by, and construed in accordance with, the laws of the State of California.</w:t>
      </w:r>
    </w:p>
    <w:p w14:paraId="4191CFD5" w14:textId="77777777" w:rsidR="00006EEE" w:rsidRPr="006B5B11" w:rsidRDefault="00006EEE" w:rsidP="00C26A98">
      <w:pPr>
        <w:ind w:left="720" w:hanging="720"/>
        <w:jc w:val="both"/>
      </w:pPr>
    </w:p>
    <w:p w14:paraId="11DEE38A" w14:textId="77777777" w:rsidR="00006EEE" w:rsidRPr="006B5B11" w:rsidRDefault="00006EEE" w:rsidP="00C26A98">
      <w:pPr>
        <w:pStyle w:val="ListParagraph"/>
        <w:numPr>
          <w:ilvl w:val="0"/>
          <w:numId w:val="46"/>
        </w:numPr>
        <w:ind w:left="720" w:hanging="720"/>
        <w:jc w:val="both"/>
        <w:rPr>
          <w:snapToGrid w:val="0"/>
        </w:rPr>
      </w:pPr>
      <w:r w:rsidRPr="006B5B11">
        <w:rPr>
          <w:b/>
          <w:snapToGrid w:val="0"/>
        </w:rPr>
        <w:t>Counterparts and Electronic Signatures</w:t>
      </w:r>
      <w:r w:rsidRPr="006B5B11">
        <w:rPr>
          <w:snapToGrid w:val="0"/>
        </w:rPr>
        <w:t>. This Term Sheet may be executed electronically and in counterparts, each of which will be enforceable against the Parties actually executing such counterparts, and all of which together will constitute one instrument. The Parties may rely on electronic, facsimile or scanned signatures as originals.  Delivery of an executed signature page of this Term Sheet by electronic transmission (including facsimile and email transmission of a PDF image) shall be the same as delivery of an original executed signature page.</w:t>
      </w:r>
    </w:p>
    <w:p w14:paraId="2ECBF1B6" w14:textId="77777777" w:rsidR="00006EEE" w:rsidRPr="006B5B11" w:rsidRDefault="00006EEE" w:rsidP="00C26A98">
      <w:pPr>
        <w:ind w:left="720" w:hanging="720"/>
      </w:pPr>
    </w:p>
    <w:p w14:paraId="61049F05" w14:textId="77777777" w:rsidR="00006EEE" w:rsidRPr="006B5B11" w:rsidRDefault="00006EEE" w:rsidP="00C26A98">
      <w:pPr>
        <w:pStyle w:val="ListParagraph"/>
        <w:numPr>
          <w:ilvl w:val="0"/>
          <w:numId w:val="46"/>
        </w:numPr>
        <w:ind w:left="720" w:hanging="720"/>
        <w:jc w:val="both"/>
        <w:rPr>
          <w:snapToGrid w:val="0"/>
        </w:rPr>
      </w:pPr>
      <w:r w:rsidRPr="006B5B11">
        <w:rPr>
          <w:b/>
          <w:snapToGrid w:val="0"/>
        </w:rPr>
        <w:t>Prior Agreements</w:t>
      </w:r>
      <w:r w:rsidRPr="006B5B11">
        <w:rPr>
          <w:snapToGrid w:val="0"/>
        </w:rPr>
        <w:t>.  This Term Sheet supersedes all prior communications and agreements, oral or written, between the Parties regarding the subject matter herein contemplated.</w:t>
      </w:r>
    </w:p>
    <w:p w14:paraId="09555CBC" w14:textId="77777777" w:rsidR="00006EEE" w:rsidRPr="006B5B11" w:rsidRDefault="00006EEE" w:rsidP="00C26A98">
      <w:pPr>
        <w:ind w:left="720" w:hanging="720"/>
        <w:jc w:val="both"/>
        <w:rPr>
          <w:snapToGrid w:val="0"/>
        </w:rPr>
      </w:pPr>
    </w:p>
    <w:p w14:paraId="2AD34A93" w14:textId="0B3CD751" w:rsidR="00006EEE" w:rsidRPr="006B5B11" w:rsidRDefault="00006EEE" w:rsidP="00C26A98">
      <w:pPr>
        <w:pStyle w:val="ListParagraph"/>
        <w:numPr>
          <w:ilvl w:val="0"/>
          <w:numId w:val="46"/>
        </w:numPr>
        <w:ind w:left="720" w:hanging="720"/>
        <w:jc w:val="both"/>
        <w:rPr>
          <w:snapToGrid w:val="0"/>
        </w:rPr>
      </w:pPr>
      <w:r w:rsidRPr="006B5B11">
        <w:rPr>
          <w:b/>
          <w:snapToGrid w:val="0"/>
        </w:rPr>
        <w:t>Assignment</w:t>
      </w:r>
      <w:r w:rsidRPr="006B5B11">
        <w:rPr>
          <w:snapToGrid w:val="0"/>
        </w:rPr>
        <w:t>.  This Term Sheet will be binding upon and inure to the benefit of the Parties and their respective successors and permitted assigns. Neither Party will assign, pledge or otherwise transfer this Term Sheet or any right or obligation under this Term Sheet without first obtaining the other Party’s prior written consent.</w:t>
      </w:r>
    </w:p>
    <w:p w14:paraId="06E0BEAD" w14:textId="77777777" w:rsidR="00006EEE" w:rsidRPr="006B5B11" w:rsidRDefault="00006EEE" w:rsidP="00C26A98">
      <w:pPr>
        <w:ind w:left="720" w:hanging="720"/>
        <w:jc w:val="both"/>
        <w:rPr>
          <w:snapToGrid w:val="0"/>
        </w:rPr>
      </w:pPr>
    </w:p>
    <w:p w14:paraId="76FF9B15" w14:textId="521C8157" w:rsidR="00006EEE" w:rsidRPr="006B5B11" w:rsidRDefault="00006EEE" w:rsidP="00C26A98">
      <w:pPr>
        <w:pStyle w:val="ListParagraph"/>
        <w:numPr>
          <w:ilvl w:val="0"/>
          <w:numId w:val="46"/>
        </w:numPr>
        <w:ind w:left="720" w:hanging="720"/>
        <w:jc w:val="both"/>
        <w:rPr>
          <w:snapToGrid w:val="0"/>
        </w:rPr>
      </w:pPr>
      <w:r w:rsidRPr="006B5B11">
        <w:rPr>
          <w:b/>
          <w:snapToGrid w:val="0"/>
        </w:rPr>
        <w:t>No Consequential Damages</w:t>
      </w:r>
      <w:r w:rsidRPr="006B5B11">
        <w:rPr>
          <w:snapToGrid w:val="0"/>
        </w:rPr>
        <w:t xml:space="preserve">.  IN NO EVENT SHALL EITHER PARTY, ITS AFFILIATES AND/OR REPRESENTATIVES BE LIABLE FOR ANY LOST OR PROSPECTIVE PROFITS OR ANY OTHER CONSEQUENTIAL, INCIDENTAL, SPECIAL, PUNITIVE, INDIRECT OR EXEMPLARY DAMAGES UNDER OR IN RESPECT TO THIS </w:t>
      </w:r>
      <w:r w:rsidR="00603AF5">
        <w:rPr>
          <w:snapToGrid w:val="0"/>
        </w:rPr>
        <w:t>TERM SHEET</w:t>
      </w:r>
      <w:r w:rsidRPr="006B5B11">
        <w:rPr>
          <w:snapToGrid w:val="0"/>
        </w:rPr>
        <w:t>.</w:t>
      </w:r>
    </w:p>
    <w:p w14:paraId="46ED6339" w14:textId="77777777" w:rsidR="00006EEE" w:rsidRPr="006B5B11" w:rsidRDefault="00006EEE" w:rsidP="00006EEE">
      <w:pPr>
        <w:rPr>
          <w:snapToGrid w:val="0"/>
        </w:rPr>
      </w:pPr>
    </w:p>
    <w:p w14:paraId="1C045F72" w14:textId="77777777" w:rsidR="00006EEE" w:rsidRPr="006B5B11" w:rsidRDefault="00006EEE" w:rsidP="00006EEE">
      <w:pPr>
        <w:jc w:val="center"/>
      </w:pPr>
      <w:r w:rsidRPr="006B5B11">
        <w:t>[</w:t>
      </w:r>
      <w:r w:rsidRPr="006B5B11">
        <w:rPr>
          <w:i/>
        </w:rPr>
        <w:t>Signatures appear on the following page</w:t>
      </w:r>
      <w:r w:rsidRPr="006B5B11">
        <w:t>.]</w:t>
      </w:r>
    </w:p>
    <w:p w14:paraId="6ECE54CE" w14:textId="77777777" w:rsidR="00006EEE" w:rsidRPr="006B5B11" w:rsidRDefault="00006EEE" w:rsidP="00006EEE">
      <w:pPr>
        <w:spacing w:line="223" w:lineRule="exact"/>
      </w:pPr>
    </w:p>
    <w:p w14:paraId="7C984C1B" w14:textId="77777777" w:rsidR="00006EEE" w:rsidRPr="006B5B11" w:rsidRDefault="00006EEE" w:rsidP="00006EEE">
      <w:pPr>
        <w:spacing w:line="223" w:lineRule="exact"/>
      </w:pPr>
    </w:p>
    <w:p w14:paraId="712C3C18" w14:textId="77777777" w:rsidR="00006EEE" w:rsidRPr="006B5B11" w:rsidRDefault="00006EEE" w:rsidP="00006EEE">
      <w:pPr>
        <w:jc w:val="both"/>
        <w:rPr>
          <w:snapToGrid w:val="0"/>
        </w:rPr>
      </w:pPr>
    </w:p>
    <w:p w14:paraId="6C25AB7F" w14:textId="77777777" w:rsidR="004C21D8" w:rsidRPr="006B5B11" w:rsidRDefault="004C21D8" w:rsidP="00006EEE">
      <w:pPr>
        <w:jc w:val="both"/>
        <w:rPr>
          <w:snapToGrid w:val="0"/>
        </w:rPr>
        <w:sectPr w:rsidR="004C21D8" w:rsidRPr="006B5B11" w:rsidSect="000650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432" w:gutter="0"/>
          <w:cols w:space="720"/>
          <w:titlePg/>
          <w:docGrid w:linePitch="360"/>
        </w:sectPr>
      </w:pPr>
    </w:p>
    <w:p w14:paraId="2F331F08" w14:textId="6C0A34C0" w:rsidR="00006EEE" w:rsidRPr="006B5B11" w:rsidRDefault="00006EEE" w:rsidP="00006EEE">
      <w:pPr>
        <w:jc w:val="both"/>
        <w:rPr>
          <w:snapToGrid w:val="0"/>
        </w:rPr>
      </w:pPr>
      <w:r w:rsidRPr="006B5B11">
        <w:rPr>
          <w:snapToGrid w:val="0"/>
        </w:rPr>
        <w:lastRenderedPageBreak/>
        <w:t>IN WITNESS WHEREOF, the Parties hereto have by their duly authorized representatives executed this Term Sheet as of the Effective Date.</w:t>
      </w:r>
    </w:p>
    <w:p w14:paraId="573A4016" w14:textId="77777777" w:rsidR="00006EEE" w:rsidRPr="006B5B11" w:rsidRDefault="00006EEE" w:rsidP="00006EEE"/>
    <w:p w14:paraId="70B95F16" w14:textId="77777777" w:rsidR="00006EEE" w:rsidRPr="006B5B11" w:rsidRDefault="00006EEE" w:rsidP="00006EEE">
      <w:pPr>
        <w:tabs>
          <w:tab w:val="left" w:pos="-720"/>
        </w:tabs>
        <w:suppressAutoHyphens/>
        <w:ind w:left="3600" w:right="-360" w:hanging="3600"/>
        <w:jc w:val="both"/>
        <w:rPr>
          <w:spacing w:val="-3"/>
        </w:rPr>
      </w:pPr>
      <w:r w:rsidRPr="006B5B11">
        <w:rPr>
          <w:b/>
          <w:spacing w:val="-3"/>
        </w:rPr>
        <w:t xml:space="preserve">    </w:t>
      </w:r>
      <w:r w:rsidRPr="006B5B11">
        <w:rPr>
          <w:b/>
          <w:spacing w:val="-3"/>
        </w:rPr>
        <w:tab/>
      </w:r>
    </w:p>
    <w:p w14:paraId="1281B9B1" w14:textId="77777777" w:rsidR="00006EEE" w:rsidRPr="006B5B11" w:rsidRDefault="00006EEE" w:rsidP="00006EEE">
      <w:pPr>
        <w:tabs>
          <w:tab w:val="left" w:pos="-720"/>
        </w:tabs>
        <w:suppressAutoHyphens/>
        <w:ind w:right="-360"/>
        <w:jc w:val="both"/>
        <w:rPr>
          <w:b/>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6EEE" w:rsidRPr="006B5B11" w14:paraId="2F087C26" w14:textId="77777777" w:rsidTr="00006EEE">
        <w:tc>
          <w:tcPr>
            <w:tcW w:w="4675" w:type="dxa"/>
          </w:tcPr>
          <w:p w14:paraId="15BD87F5" w14:textId="604EAAA4" w:rsidR="00006EEE" w:rsidRPr="006B5B11" w:rsidRDefault="00B20CE2">
            <w:pPr>
              <w:rPr>
                <w:b/>
              </w:rPr>
            </w:pPr>
            <w:r w:rsidRPr="006B5B11">
              <w:rPr>
                <w:b/>
              </w:rPr>
              <w:t>MARIN CLEAN ENERGY</w:t>
            </w:r>
            <w:r w:rsidR="00006EEE" w:rsidRPr="006B5B11">
              <w:rPr>
                <w:b/>
              </w:rPr>
              <w:t>, a California joint powers authority</w:t>
            </w:r>
          </w:p>
          <w:p w14:paraId="23156E83" w14:textId="77777777" w:rsidR="00006EEE" w:rsidRPr="006B5B11" w:rsidRDefault="00006EEE"/>
        </w:tc>
        <w:tc>
          <w:tcPr>
            <w:tcW w:w="4675" w:type="dxa"/>
          </w:tcPr>
          <w:p w14:paraId="083D6D63" w14:textId="1369DB71" w:rsidR="00006EEE" w:rsidRPr="006B5B11" w:rsidRDefault="00B20CE2">
            <w:pPr>
              <w:tabs>
                <w:tab w:val="left" w:pos="-720"/>
              </w:tabs>
              <w:suppressAutoHyphens/>
              <w:ind w:right="-360"/>
              <w:jc w:val="both"/>
              <w:rPr>
                <w:b/>
              </w:rPr>
            </w:pPr>
            <w:r w:rsidRPr="006B5B11">
              <w:rPr>
                <w:b/>
              </w:rPr>
              <w:t>[</w:t>
            </w:r>
            <w:r w:rsidRPr="006B5B11">
              <w:rPr>
                <w:b/>
                <w:i/>
                <w:iCs/>
                <w:highlight w:val="lightGray"/>
              </w:rPr>
              <w:t>SELLER</w:t>
            </w:r>
            <w:r w:rsidRPr="006B5B11">
              <w:rPr>
                <w:bCs/>
              </w:rPr>
              <w:t>]</w:t>
            </w:r>
            <w:r w:rsidR="007E6D84" w:rsidRPr="006B5B11">
              <w:rPr>
                <w:b/>
              </w:rPr>
              <w:t xml:space="preserve"> </w:t>
            </w:r>
          </w:p>
          <w:p w14:paraId="379A219E" w14:textId="77777777" w:rsidR="00006EEE" w:rsidRPr="006B5B11" w:rsidRDefault="00006EEE"/>
        </w:tc>
      </w:tr>
      <w:tr w:rsidR="00006EEE" w:rsidRPr="006B5B11" w14:paraId="1DD1ED71" w14:textId="77777777" w:rsidTr="00006EEE">
        <w:tc>
          <w:tcPr>
            <w:tcW w:w="4675" w:type="dxa"/>
          </w:tcPr>
          <w:p w14:paraId="738F77CC" w14:textId="77777777" w:rsidR="00006EEE" w:rsidRPr="006B5B11" w:rsidRDefault="00006EEE">
            <w:pPr>
              <w:tabs>
                <w:tab w:val="left" w:pos="-720"/>
              </w:tabs>
              <w:suppressAutoHyphens/>
              <w:ind w:right="-360"/>
              <w:jc w:val="both"/>
            </w:pPr>
            <w:r w:rsidRPr="006B5B11">
              <w:rPr>
                <w:spacing w:val="-3"/>
              </w:rPr>
              <w:t>By:</w:t>
            </w:r>
            <w:r w:rsidRPr="006B5B11">
              <w:rPr>
                <w:spacing w:val="-3"/>
              </w:rPr>
              <w:tab/>
              <w:t>___________________________</w:t>
            </w:r>
          </w:p>
          <w:p w14:paraId="61F3BD93" w14:textId="77777777" w:rsidR="00006EEE" w:rsidRPr="006B5B11" w:rsidRDefault="00006EEE"/>
          <w:p w14:paraId="5EBCA2F7" w14:textId="77777777" w:rsidR="00006EEE" w:rsidRPr="006B5B11" w:rsidRDefault="00006EEE">
            <w:pPr>
              <w:tabs>
                <w:tab w:val="left" w:pos="-720"/>
              </w:tabs>
              <w:suppressAutoHyphens/>
              <w:ind w:right="-360"/>
              <w:jc w:val="both"/>
            </w:pPr>
            <w:r w:rsidRPr="006B5B11">
              <w:rPr>
                <w:spacing w:val="-3"/>
              </w:rPr>
              <w:t>Printed Name:</w:t>
            </w:r>
            <w:r w:rsidRPr="006B5B11">
              <w:rPr>
                <w:spacing w:val="-3"/>
              </w:rPr>
              <w:tab/>
              <w:t>_____________________</w:t>
            </w:r>
          </w:p>
          <w:p w14:paraId="05C4D386" w14:textId="77777777" w:rsidR="00006EEE" w:rsidRPr="006B5B11" w:rsidRDefault="00006EEE"/>
          <w:p w14:paraId="6AF35D78" w14:textId="77777777" w:rsidR="00006EEE" w:rsidRPr="006B5B11" w:rsidRDefault="00006EEE">
            <w:pPr>
              <w:tabs>
                <w:tab w:val="left" w:pos="-720"/>
              </w:tabs>
              <w:suppressAutoHyphens/>
              <w:ind w:right="-360"/>
              <w:jc w:val="both"/>
            </w:pPr>
            <w:r w:rsidRPr="006B5B11">
              <w:rPr>
                <w:spacing w:val="-3"/>
              </w:rPr>
              <w:t>Title:</w:t>
            </w:r>
            <w:r w:rsidRPr="006B5B11">
              <w:rPr>
                <w:spacing w:val="-3"/>
              </w:rPr>
              <w:tab/>
              <w:t>___________________________</w:t>
            </w:r>
          </w:p>
        </w:tc>
        <w:tc>
          <w:tcPr>
            <w:tcW w:w="4675" w:type="dxa"/>
          </w:tcPr>
          <w:p w14:paraId="1555C1BA" w14:textId="77777777" w:rsidR="00006EEE" w:rsidRPr="006B5B11" w:rsidRDefault="00006EEE">
            <w:pPr>
              <w:tabs>
                <w:tab w:val="left" w:pos="-720"/>
              </w:tabs>
              <w:suppressAutoHyphens/>
              <w:ind w:right="-360"/>
              <w:jc w:val="both"/>
            </w:pPr>
            <w:r w:rsidRPr="006B5B11">
              <w:rPr>
                <w:spacing w:val="-3"/>
              </w:rPr>
              <w:t>By:</w:t>
            </w:r>
            <w:r w:rsidRPr="006B5B11">
              <w:rPr>
                <w:spacing w:val="-3"/>
              </w:rPr>
              <w:tab/>
              <w:t>___________________________</w:t>
            </w:r>
          </w:p>
          <w:p w14:paraId="15F5BD3C" w14:textId="77777777" w:rsidR="00006EEE" w:rsidRPr="006B5B11" w:rsidRDefault="00006EEE"/>
          <w:p w14:paraId="0F697746" w14:textId="77777777" w:rsidR="00006EEE" w:rsidRPr="006B5B11" w:rsidRDefault="00006EEE">
            <w:pPr>
              <w:tabs>
                <w:tab w:val="left" w:pos="-720"/>
              </w:tabs>
              <w:suppressAutoHyphens/>
              <w:ind w:right="-360"/>
              <w:jc w:val="both"/>
            </w:pPr>
            <w:r w:rsidRPr="006B5B11">
              <w:rPr>
                <w:spacing w:val="-3"/>
              </w:rPr>
              <w:t>Printed Name:</w:t>
            </w:r>
            <w:r w:rsidRPr="006B5B11">
              <w:rPr>
                <w:spacing w:val="-3"/>
              </w:rPr>
              <w:tab/>
              <w:t>_____________________</w:t>
            </w:r>
          </w:p>
          <w:p w14:paraId="5C116F0D" w14:textId="77777777" w:rsidR="00006EEE" w:rsidRPr="006B5B11" w:rsidRDefault="00006EEE"/>
          <w:p w14:paraId="23DE2F86" w14:textId="77777777" w:rsidR="00006EEE" w:rsidRPr="006B5B11" w:rsidRDefault="00006EEE">
            <w:r w:rsidRPr="006B5B11">
              <w:rPr>
                <w:spacing w:val="-3"/>
              </w:rPr>
              <w:t>Title:</w:t>
            </w:r>
            <w:r w:rsidRPr="006B5B11">
              <w:rPr>
                <w:spacing w:val="-3"/>
              </w:rPr>
              <w:tab/>
              <w:t>___________________________</w:t>
            </w:r>
          </w:p>
        </w:tc>
      </w:tr>
      <w:tr w:rsidR="00006EEE" w:rsidRPr="006B5B11" w14:paraId="4FA4C1AF" w14:textId="77777777" w:rsidTr="00006EEE">
        <w:tc>
          <w:tcPr>
            <w:tcW w:w="4675" w:type="dxa"/>
          </w:tcPr>
          <w:p w14:paraId="198EBFA6" w14:textId="77777777" w:rsidR="00006EEE" w:rsidRPr="006B5B11" w:rsidRDefault="00006EEE"/>
          <w:p w14:paraId="145B149B" w14:textId="77777777" w:rsidR="00006EEE" w:rsidRPr="006B5B11" w:rsidRDefault="00006EEE"/>
          <w:p w14:paraId="343CFE35" w14:textId="77777777" w:rsidR="00006EEE" w:rsidRPr="006B5B11" w:rsidRDefault="00006EEE"/>
          <w:p w14:paraId="22F114FE" w14:textId="77777777" w:rsidR="00006EEE" w:rsidRPr="006B5B11" w:rsidRDefault="00006EEE">
            <w:pPr>
              <w:tabs>
                <w:tab w:val="left" w:pos="-720"/>
              </w:tabs>
              <w:suppressAutoHyphens/>
              <w:ind w:right="-360"/>
              <w:jc w:val="both"/>
            </w:pPr>
            <w:r w:rsidRPr="006B5B11">
              <w:rPr>
                <w:spacing w:val="-3"/>
              </w:rPr>
              <w:t>By:</w:t>
            </w:r>
            <w:r w:rsidRPr="006B5B11">
              <w:rPr>
                <w:spacing w:val="-3"/>
              </w:rPr>
              <w:tab/>
              <w:t>___________________________</w:t>
            </w:r>
          </w:p>
          <w:p w14:paraId="15BF10AB" w14:textId="77777777" w:rsidR="00006EEE" w:rsidRPr="006B5B11" w:rsidRDefault="00006EEE"/>
          <w:p w14:paraId="5DEF3308" w14:textId="77777777" w:rsidR="00006EEE" w:rsidRPr="006B5B11" w:rsidRDefault="00006EEE">
            <w:pPr>
              <w:tabs>
                <w:tab w:val="left" w:pos="-720"/>
              </w:tabs>
              <w:suppressAutoHyphens/>
              <w:ind w:right="-360"/>
              <w:jc w:val="both"/>
            </w:pPr>
            <w:r w:rsidRPr="006B5B11">
              <w:rPr>
                <w:spacing w:val="-3"/>
              </w:rPr>
              <w:t>Printed Name:</w:t>
            </w:r>
            <w:r w:rsidRPr="006B5B11">
              <w:rPr>
                <w:spacing w:val="-3"/>
              </w:rPr>
              <w:tab/>
              <w:t>_____________________</w:t>
            </w:r>
          </w:p>
          <w:p w14:paraId="3C859B9D" w14:textId="77777777" w:rsidR="00006EEE" w:rsidRPr="006B5B11" w:rsidRDefault="00006EEE"/>
          <w:p w14:paraId="6CAFAA7A" w14:textId="77777777" w:rsidR="00006EEE" w:rsidRPr="006B5B11" w:rsidRDefault="00006EEE">
            <w:r w:rsidRPr="006B5B11">
              <w:rPr>
                <w:spacing w:val="-3"/>
              </w:rPr>
              <w:t>Title:</w:t>
            </w:r>
            <w:r w:rsidRPr="006B5B11">
              <w:rPr>
                <w:spacing w:val="-3"/>
              </w:rPr>
              <w:tab/>
              <w:t>___________________________</w:t>
            </w:r>
          </w:p>
        </w:tc>
        <w:tc>
          <w:tcPr>
            <w:tcW w:w="4675" w:type="dxa"/>
          </w:tcPr>
          <w:p w14:paraId="2A2BFF5C" w14:textId="77777777" w:rsidR="00006EEE" w:rsidRPr="006B5B11" w:rsidRDefault="00006EEE"/>
          <w:p w14:paraId="74F03BC5" w14:textId="77777777" w:rsidR="00006EEE" w:rsidRPr="006B5B11" w:rsidRDefault="00006EEE"/>
          <w:p w14:paraId="30AE3B41" w14:textId="77777777" w:rsidR="00B83533" w:rsidRPr="006B5B11" w:rsidRDefault="00B83533">
            <w:pPr>
              <w:tabs>
                <w:tab w:val="left" w:pos="-720"/>
              </w:tabs>
              <w:suppressAutoHyphens/>
              <w:ind w:right="-360"/>
              <w:jc w:val="both"/>
              <w:rPr>
                <w:spacing w:val="-3"/>
              </w:rPr>
            </w:pPr>
          </w:p>
          <w:p w14:paraId="3F31DC1E" w14:textId="2B1A72AE" w:rsidR="00006EEE" w:rsidRPr="006B5B11" w:rsidRDefault="00006EEE">
            <w:pPr>
              <w:tabs>
                <w:tab w:val="left" w:pos="-720"/>
              </w:tabs>
              <w:suppressAutoHyphens/>
              <w:ind w:right="-360"/>
              <w:jc w:val="both"/>
            </w:pPr>
            <w:r w:rsidRPr="006B5B11">
              <w:rPr>
                <w:spacing w:val="-3"/>
              </w:rPr>
              <w:t>By:</w:t>
            </w:r>
            <w:r w:rsidRPr="006B5B11">
              <w:rPr>
                <w:spacing w:val="-3"/>
              </w:rPr>
              <w:tab/>
              <w:t>___________________________</w:t>
            </w:r>
          </w:p>
          <w:p w14:paraId="76D645EF" w14:textId="77777777" w:rsidR="00006EEE" w:rsidRPr="006B5B11" w:rsidRDefault="00006EEE"/>
          <w:p w14:paraId="1545D644" w14:textId="77777777" w:rsidR="00006EEE" w:rsidRPr="006B5B11" w:rsidRDefault="00006EEE">
            <w:pPr>
              <w:tabs>
                <w:tab w:val="left" w:pos="-720"/>
              </w:tabs>
              <w:suppressAutoHyphens/>
              <w:ind w:right="-360"/>
              <w:jc w:val="both"/>
            </w:pPr>
            <w:r w:rsidRPr="006B5B11">
              <w:rPr>
                <w:spacing w:val="-3"/>
              </w:rPr>
              <w:t>Printed Name:</w:t>
            </w:r>
            <w:r w:rsidRPr="006B5B11">
              <w:rPr>
                <w:spacing w:val="-3"/>
              </w:rPr>
              <w:tab/>
              <w:t>_____________________</w:t>
            </w:r>
          </w:p>
          <w:p w14:paraId="3339ACAC" w14:textId="77777777" w:rsidR="00006EEE" w:rsidRPr="006B5B11" w:rsidRDefault="00006EEE"/>
          <w:p w14:paraId="46A1FE47" w14:textId="77777777" w:rsidR="00006EEE" w:rsidRPr="006B5B11" w:rsidRDefault="00006EEE">
            <w:r w:rsidRPr="006B5B11">
              <w:rPr>
                <w:spacing w:val="-3"/>
              </w:rPr>
              <w:t>Title:</w:t>
            </w:r>
            <w:r w:rsidRPr="006B5B11">
              <w:rPr>
                <w:spacing w:val="-3"/>
              </w:rPr>
              <w:tab/>
              <w:t>___________________________</w:t>
            </w:r>
          </w:p>
        </w:tc>
      </w:tr>
    </w:tbl>
    <w:p w14:paraId="6FFE4FB7" w14:textId="26FF4C2F" w:rsidR="00840344" w:rsidRPr="006B5B11" w:rsidRDefault="00840344" w:rsidP="00B83533">
      <w:pPr>
        <w:spacing w:after="160" w:line="259" w:lineRule="auto"/>
        <w:rPr>
          <w:b/>
        </w:rPr>
      </w:pPr>
    </w:p>
    <w:sectPr w:rsidR="00840344" w:rsidRPr="006B5B11" w:rsidSect="00065089">
      <w:head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B96D7" w14:textId="77777777" w:rsidR="009B04CB" w:rsidRDefault="009B04CB" w:rsidP="00976FF5">
      <w:r>
        <w:separator/>
      </w:r>
    </w:p>
  </w:endnote>
  <w:endnote w:type="continuationSeparator" w:id="0">
    <w:p w14:paraId="22EB594A" w14:textId="77777777" w:rsidR="009B04CB" w:rsidRDefault="009B04CB" w:rsidP="00976FF5">
      <w:r>
        <w:continuationSeparator/>
      </w:r>
    </w:p>
  </w:endnote>
  <w:endnote w:type="continuationNotice" w:id="1">
    <w:p w14:paraId="0D5B5C8C" w14:textId="77777777" w:rsidR="009B04CB" w:rsidRDefault="009B0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rrington">
    <w:charset w:val="00"/>
    <w:family w:val="decorativ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nhem Pro Nor">
    <w:altName w:val="Arial"/>
    <w:panose1 w:val="00000000000000000000"/>
    <w:charset w:val="00"/>
    <w:family w:val="modern"/>
    <w:notTrueType/>
    <w:pitch w:val="variable"/>
    <w:sig w:usb0="00000087" w:usb1="00000001"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5103178"/>
      <w:docPartObj>
        <w:docPartGallery w:val="Page Numbers (Bottom of Page)"/>
        <w:docPartUnique/>
      </w:docPartObj>
    </w:sdtPr>
    <w:sdtEndPr>
      <w:rPr>
        <w:rStyle w:val="PageNumber"/>
      </w:rPr>
    </w:sdtEndPr>
    <w:sdtContent>
      <w:p w14:paraId="3268B6BB" w14:textId="34738078" w:rsidR="00A67EB7" w:rsidRDefault="00A67EB7" w:rsidP="00A67E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A67EB7" w:rsidRDefault="00A67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713039"/>
      <w:docPartObj>
        <w:docPartGallery w:val="Page Numbers (Bottom of Page)"/>
        <w:docPartUnique/>
      </w:docPartObj>
    </w:sdtPr>
    <w:sdtEndPr>
      <w:rPr>
        <w:rStyle w:val="PageNumber"/>
      </w:rPr>
    </w:sdtEndPr>
    <w:sdtContent>
      <w:p w14:paraId="5177B6E5" w14:textId="137CCC4C" w:rsidR="00A67EB7" w:rsidRDefault="00A67EB7" w:rsidP="00A67E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694767857"/>
      <w:docPartObj>
        <w:docPartGallery w:val="Page Numbers (Bottom of Page)"/>
        <w:docPartUnique/>
      </w:docPartObj>
    </w:sdtPr>
    <w:sdtEndPr>
      <w:rPr>
        <w:noProof/>
      </w:rPr>
    </w:sdtEndPr>
    <w:sdtContent>
      <w:p w14:paraId="2BCDBED9" w14:textId="1DF8B955" w:rsidR="00A67EB7" w:rsidRDefault="00A67EB7">
        <w:pPr>
          <w:pStyle w:val="Footer"/>
          <w:jc w:val="right"/>
        </w:pPr>
        <w:r>
          <w:rPr>
            <w:rFonts w:ascii="Arial" w:hAnsi="Arial" w:cs="Arial"/>
            <w:noProof/>
            <w:sz w:val="16"/>
            <w:szCs w:val="16"/>
          </w:rPr>
          <w:tab/>
        </w:r>
        <w:r>
          <w:rPr>
            <w:rFonts w:ascii="Arial" w:hAnsi="Arial" w:cs="Arial"/>
            <w:noProof/>
            <w:sz w:val="16"/>
            <w:szCs w:val="16"/>
          </w:rPr>
          <w:tab/>
        </w:r>
      </w:p>
    </w:sdtContent>
  </w:sdt>
  <w:p w14:paraId="0F1F553D" w14:textId="77777777" w:rsidR="00A67EB7" w:rsidRPr="005D2A99" w:rsidRDefault="00A67EB7">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44E7" w14:textId="77777777" w:rsidR="004C74D3" w:rsidRDefault="004C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DCF7" w14:textId="77777777" w:rsidR="009B04CB" w:rsidRDefault="009B04CB" w:rsidP="00976FF5">
      <w:r>
        <w:separator/>
      </w:r>
    </w:p>
  </w:footnote>
  <w:footnote w:type="continuationSeparator" w:id="0">
    <w:p w14:paraId="69F5DAC6" w14:textId="77777777" w:rsidR="009B04CB" w:rsidRDefault="009B04CB" w:rsidP="00976FF5">
      <w:r>
        <w:continuationSeparator/>
      </w:r>
    </w:p>
  </w:footnote>
  <w:footnote w:type="continuationNotice" w:id="1">
    <w:p w14:paraId="24E74022" w14:textId="77777777" w:rsidR="009B04CB" w:rsidRDefault="009B0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82F0" w14:textId="77777777" w:rsidR="004C74D3" w:rsidRDefault="004C7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1498" w14:textId="7FA639AB" w:rsidR="00A67EB7" w:rsidRDefault="00A67EB7">
    <w:pPr>
      <w:pStyle w:val="Header"/>
    </w:pPr>
  </w:p>
  <w:p w14:paraId="234EFC23" w14:textId="1C6B5E45" w:rsidR="00A67EB7" w:rsidRPr="00BD754F" w:rsidRDefault="00A67EB7" w:rsidP="005D2A99">
    <w:pPr>
      <w:pStyle w:val="Header"/>
      <w:tabs>
        <w:tab w:val="clear" w:pos="4680"/>
      </w:tabs>
      <w:rPr>
        <w:rFonts w:ascii="Arnhem Pro Nor" w:hAnsi="Arnhem Pro No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D4D6" w14:textId="77777777" w:rsidR="00A67EB7" w:rsidRDefault="00A67EB7">
    <w:pPr>
      <w:pStyle w:val="Header"/>
      <w:rPr>
        <w:b/>
        <w:bCs/>
      </w:rPr>
    </w:pPr>
  </w:p>
  <w:p w14:paraId="460CC911" w14:textId="32FE8E04" w:rsidR="00AB2540" w:rsidRDefault="00AB2540" w:rsidP="00AB2540">
    <w:pPr>
      <w:pStyle w:val="Header"/>
      <w:rPr>
        <w:b/>
        <w:bCs/>
      </w:rPr>
    </w:pPr>
    <w:bookmarkStart w:id="1" w:name="_GoBack"/>
    <w:bookmarkEnd w:id="1"/>
    <w:r>
      <w:rPr>
        <w:b/>
      </w:rPr>
      <w:t xml:space="preserve">TERM SHEET FOR </w:t>
    </w:r>
    <w:r w:rsidR="00352B7C">
      <w:rPr>
        <w:b/>
      </w:rPr>
      <w:t xml:space="preserve">RENEWABLE </w:t>
    </w:r>
    <w:r>
      <w:rPr>
        <w:b/>
      </w:rPr>
      <w:t>ENERGY PPA</w:t>
    </w:r>
  </w:p>
  <w:p w14:paraId="738A7115" w14:textId="060E3D65" w:rsidR="00AB2540" w:rsidRDefault="00DD722B" w:rsidP="00AB2540">
    <w:pPr>
      <w:pStyle w:val="Header"/>
      <w:rPr>
        <w:b/>
        <w:bCs/>
      </w:rPr>
    </w:pPr>
    <w:r>
      <w:rPr>
        <w:b/>
        <w:bCs/>
      </w:rPr>
      <w:t>31</w:t>
    </w:r>
    <w:r w:rsidR="00AB2540" w:rsidRPr="006B5B11">
      <w:rPr>
        <w:b/>
        <w:bCs/>
      </w:rPr>
      <w:t xml:space="preserve"> </w:t>
    </w:r>
    <w:r w:rsidR="00AB2540">
      <w:rPr>
        <w:b/>
        <w:bCs/>
      </w:rPr>
      <w:t>JANUARY</w:t>
    </w:r>
    <w:r w:rsidR="00AB2540" w:rsidRPr="006B5B11">
      <w:rPr>
        <w:b/>
        <w:bCs/>
      </w:rPr>
      <w:t xml:space="preserve"> 20</w:t>
    </w:r>
    <w:r w:rsidR="00AB2540">
      <w:rPr>
        <w:b/>
        <w:bCs/>
      </w:rPr>
      <w:t>20</w:t>
    </w:r>
  </w:p>
  <w:p w14:paraId="6E0EB8D5" w14:textId="409876AD" w:rsidR="00450485" w:rsidRPr="006B5B11" w:rsidRDefault="00450485">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7BC3" w14:textId="77777777" w:rsidR="00A67EB7" w:rsidRDefault="00A67EB7">
    <w:pPr>
      <w:pStyle w:val="Header"/>
      <w:rPr>
        <w:b/>
        <w:bCs/>
      </w:rPr>
    </w:pPr>
  </w:p>
  <w:p w14:paraId="74A0FDCC" w14:textId="5F357BFC" w:rsidR="00A67EB7" w:rsidRPr="006B5B11" w:rsidRDefault="00A67EB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8FE"/>
    <w:multiLevelType w:val="hybridMultilevel"/>
    <w:tmpl w:val="8416A5B4"/>
    <w:lvl w:ilvl="0" w:tplc="B3E03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61809"/>
    <w:multiLevelType w:val="hybridMultilevel"/>
    <w:tmpl w:val="95F68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72C19"/>
    <w:multiLevelType w:val="hybridMultilevel"/>
    <w:tmpl w:val="802A30CA"/>
    <w:lvl w:ilvl="0" w:tplc="18F4B43E">
      <w:start w:val="1"/>
      <w:numFmt w:val="decimal"/>
      <w:lvlText w:val="2.%1"/>
      <w:lvlJc w:val="left"/>
      <w:pPr>
        <w:ind w:left="826" w:hanging="360"/>
      </w:pPr>
      <w:rPr>
        <w:rFonts w:hint="default"/>
        <w:b/>
        <w:bCs/>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0390600F"/>
    <w:multiLevelType w:val="hybridMultilevel"/>
    <w:tmpl w:val="6D9A318A"/>
    <w:lvl w:ilvl="0" w:tplc="336E578A">
      <w:start w:val="1"/>
      <w:numFmt w:val="lowerLetter"/>
      <w:lvlText w:val="(%1)"/>
      <w:lvlJc w:val="left"/>
      <w:pPr>
        <w:ind w:left="720" w:hanging="360"/>
      </w:pPr>
      <w:rPr>
        <w:rFonts w:cs="Times New Roman" w:hint="default"/>
        <w:strike w:val="0"/>
        <w:d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37980"/>
    <w:multiLevelType w:val="hybridMultilevel"/>
    <w:tmpl w:val="CED4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11EA1"/>
    <w:multiLevelType w:val="hybridMultilevel"/>
    <w:tmpl w:val="B6569566"/>
    <w:lvl w:ilvl="0" w:tplc="D49E5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45411"/>
    <w:multiLevelType w:val="hybridMultilevel"/>
    <w:tmpl w:val="91887C08"/>
    <w:lvl w:ilvl="0" w:tplc="8586DCEA">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7" w15:restartNumberingAfterBreak="0">
    <w:nsid w:val="18535F83"/>
    <w:multiLevelType w:val="hybridMultilevel"/>
    <w:tmpl w:val="6F72E47C"/>
    <w:lvl w:ilvl="0" w:tplc="D9FE9458">
      <w:start w:val="1"/>
      <w:numFmt w:val="decimal"/>
      <w:lvlText w:val="(%1)"/>
      <w:lvlJc w:val="left"/>
      <w:pPr>
        <w:ind w:left="720" w:hanging="360"/>
      </w:pPr>
      <w:rPr>
        <w:rFonts w:hint="default"/>
      </w:rPr>
    </w:lvl>
    <w:lvl w:ilvl="1" w:tplc="60FE5B6A" w:tentative="1">
      <w:start w:val="1"/>
      <w:numFmt w:val="lowerLetter"/>
      <w:lvlText w:val="%2."/>
      <w:lvlJc w:val="left"/>
      <w:pPr>
        <w:ind w:left="1440" w:hanging="360"/>
      </w:pPr>
    </w:lvl>
    <w:lvl w:ilvl="2" w:tplc="8190EEEA" w:tentative="1">
      <w:start w:val="1"/>
      <w:numFmt w:val="lowerRoman"/>
      <w:lvlText w:val="%3."/>
      <w:lvlJc w:val="right"/>
      <w:pPr>
        <w:ind w:left="2160" w:hanging="180"/>
      </w:pPr>
    </w:lvl>
    <w:lvl w:ilvl="3" w:tplc="14E6014C" w:tentative="1">
      <w:start w:val="1"/>
      <w:numFmt w:val="decimal"/>
      <w:lvlText w:val="%4."/>
      <w:lvlJc w:val="left"/>
      <w:pPr>
        <w:ind w:left="2880" w:hanging="360"/>
      </w:pPr>
    </w:lvl>
    <w:lvl w:ilvl="4" w:tplc="0A0A69CA" w:tentative="1">
      <w:start w:val="1"/>
      <w:numFmt w:val="lowerLetter"/>
      <w:lvlText w:val="%5."/>
      <w:lvlJc w:val="left"/>
      <w:pPr>
        <w:ind w:left="3600" w:hanging="360"/>
      </w:pPr>
    </w:lvl>
    <w:lvl w:ilvl="5" w:tplc="FE046474" w:tentative="1">
      <w:start w:val="1"/>
      <w:numFmt w:val="lowerRoman"/>
      <w:lvlText w:val="%6."/>
      <w:lvlJc w:val="right"/>
      <w:pPr>
        <w:ind w:left="4320" w:hanging="180"/>
      </w:pPr>
    </w:lvl>
    <w:lvl w:ilvl="6" w:tplc="4A96B72A" w:tentative="1">
      <w:start w:val="1"/>
      <w:numFmt w:val="decimal"/>
      <w:lvlText w:val="%7."/>
      <w:lvlJc w:val="left"/>
      <w:pPr>
        <w:ind w:left="5040" w:hanging="360"/>
      </w:pPr>
    </w:lvl>
    <w:lvl w:ilvl="7" w:tplc="562A25AA" w:tentative="1">
      <w:start w:val="1"/>
      <w:numFmt w:val="lowerLetter"/>
      <w:lvlText w:val="%8."/>
      <w:lvlJc w:val="left"/>
      <w:pPr>
        <w:ind w:left="5760" w:hanging="360"/>
      </w:pPr>
    </w:lvl>
    <w:lvl w:ilvl="8" w:tplc="33ACDC42" w:tentative="1">
      <w:start w:val="1"/>
      <w:numFmt w:val="lowerRoman"/>
      <w:lvlText w:val="%9."/>
      <w:lvlJc w:val="right"/>
      <w:pPr>
        <w:ind w:left="6480" w:hanging="180"/>
      </w:pPr>
    </w:lvl>
  </w:abstractNum>
  <w:abstractNum w:abstractNumId="8" w15:restartNumberingAfterBreak="0">
    <w:nsid w:val="193C4B66"/>
    <w:multiLevelType w:val="multilevel"/>
    <w:tmpl w:val="9DDEBB0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9" w15:restartNumberingAfterBreak="0">
    <w:nsid w:val="197B3C34"/>
    <w:multiLevelType w:val="hybridMultilevel"/>
    <w:tmpl w:val="C374DAD0"/>
    <w:lvl w:ilvl="0" w:tplc="DCCE7CAC">
      <w:start w:val="24"/>
      <w:numFmt w:val="decimal"/>
      <w:lvlText w:val="%1."/>
      <w:lvlJc w:val="left"/>
      <w:pPr>
        <w:ind w:left="826"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810A1A"/>
    <w:multiLevelType w:val="hybridMultilevel"/>
    <w:tmpl w:val="7F149EE0"/>
    <w:lvl w:ilvl="0" w:tplc="436E3B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216624A"/>
    <w:multiLevelType w:val="hybridMultilevel"/>
    <w:tmpl w:val="0FBE3C98"/>
    <w:lvl w:ilvl="0" w:tplc="EA3A5D30">
      <w:start w:val="1"/>
      <w:numFmt w:val="bullet"/>
      <w:lvlText w:val=""/>
      <w:lvlJc w:val="left"/>
      <w:pPr>
        <w:ind w:left="720" w:hanging="360"/>
      </w:pPr>
      <w:rPr>
        <w:rFonts w:ascii="Symbol" w:hAnsi="Symbol" w:hint="default"/>
      </w:rPr>
    </w:lvl>
    <w:lvl w:ilvl="1" w:tplc="9208A410" w:tentative="1">
      <w:start w:val="1"/>
      <w:numFmt w:val="bullet"/>
      <w:lvlText w:val="o"/>
      <w:lvlJc w:val="left"/>
      <w:pPr>
        <w:ind w:left="1440" w:hanging="360"/>
      </w:pPr>
      <w:rPr>
        <w:rFonts w:ascii="Courier New" w:hAnsi="Courier New" w:cs="Courier New" w:hint="default"/>
      </w:rPr>
    </w:lvl>
    <w:lvl w:ilvl="2" w:tplc="A7E0AD22" w:tentative="1">
      <w:start w:val="1"/>
      <w:numFmt w:val="bullet"/>
      <w:lvlText w:val=""/>
      <w:lvlJc w:val="left"/>
      <w:pPr>
        <w:ind w:left="2160" w:hanging="360"/>
      </w:pPr>
      <w:rPr>
        <w:rFonts w:ascii="Wingdings" w:hAnsi="Wingdings" w:hint="default"/>
      </w:rPr>
    </w:lvl>
    <w:lvl w:ilvl="3" w:tplc="7E8AF766" w:tentative="1">
      <w:start w:val="1"/>
      <w:numFmt w:val="bullet"/>
      <w:lvlText w:val=""/>
      <w:lvlJc w:val="left"/>
      <w:pPr>
        <w:ind w:left="2880" w:hanging="360"/>
      </w:pPr>
      <w:rPr>
        <w:rFonts w:ascii="Symbol" w:hAnsi="Symbol" w:hint="default"/>
      </w:rPr>
    </w:lvl>
    <w:lvl w:ilvl="4" w:tplc="A9F0F75A" w:tentative="1">
      <w:start w:val="1"/>
      <w:numFmt w:val="bullet"/>
      <w:lvlText w:val="o"/>
      <w:lvlJc w:val="left"/>
      <w:pPr>
        <w:ind w:left="3600" w:hanging="360"/>
      </w:pPr>
      <w:rPr>
        <w:rFonts w:ascii="Courier New" w:hAnsi="Courier New" w:cs="Courier New" w:hint="default"/>
      </w:rPr>
    </w:lvl>
    <w:lvl w:ilvl="5" w:tplc="F7C612AE" w:tentative="1">
      <w:start w:val="1"/>
      <w:numFmt w:val="bullet"/>
      <w:lvlText w:val=""/>
      <w:lvlJc w:val="left"/>
      <w:pPr>
        <w:ind w:left="4320" w:hanging="360"/>
      </w:pPr>
      <w:rPr>
        <w:rFonts w:ascii="Wingdings" w:hAnsi="Wingdings" w:hint="default"/>
      </w:rPr>
    </w:lvl>
    <w:lvl w:ilvl="6" w:tplc="E9725836" w:tentative="1">
      <w:start w:val="1"/>
      <w:numFmt w:val="bullet"/>
      <w:lvlText w:val=""/>
      <w:lvlJc w:val="left"/>
      <w:pPr>
        <w:ind w:left="5040" w:hanging="360"/>
      </w:pPr>
      <w:rPr>
        <w:rFonts w:ascii="Symbol" w:hAnsi="Symbol" w:hint="default"/>
      </w:rPr>
    </w:lvl>
    <w:lvl w:ilvl="7" w:tplc="9526477C" w:tentative="1">
      <w:start w:val="1"/>
      <w:numFmt w:val="bullet"/>
      <w:lvlText w:val="o"/>
      <w:lvlJc w:val="left"/>
      <w:pPr>
        <w:ind w:left="5760" w:hanging="360"/>
      </w:pPr>
      <w:rPr>
        <w:rFonts w:ascii="Courier New" w:hAnsi="Courier New" w:cs="Courier New" w:hint="default"/>
      </w:rPr>
    </w:lvl>
    <w:lvl w:ilvl="8" w:tplc="E3AE21D6" w:tentative="1">
      <w:start w:val="1"/>
      <w:numFmt w:val="bullet"/>
      <w:lvlText w:val=""/>
      <w:lvlJc w:val="left"/>
      <w:pPr>
        <w:ind w:left="6480" w:hanging="360"/>
      </w:pPr>
      <w:rPr>
        <w:rFonts w:ascii="Wingdings" w:hAnsi="Wingdings" w:hint="default"/>
      </w:rPr>
    </w:lvl>
  </w:abstractNum>
  <w:abstractNum w:abstractNumId="12" w15:restartNumberingAfterBreak="0">
    <w:nsid w:val="25D63215"/>
    <w:multiLevelType w:val="hybridMultilevel"/>
    <w:tmpl w:val="799CD642"/>
    <w:lvl w:ilvl="0" w:tplc="7B40AD38">
      <w:start w:val="1"/>
      <w:numFmt w:val="decimal"/>
      <w:lvlText w:val="(%1)"/>
      <w:lvlJc w:val="left"/>
      <w:pPr>
        <w:ind w:left="720" w:hanging="360"/>
      </w:pPr>
      <w:rPr>
        <w:rFonts w:hint="default"/>
      </w:rPr>
    </w:lvl>
    <w:lvl w:ilvl="1" w:tplc="B0986ADE" w:tentative="1">
      <w:start w:val="1"/>
      <w:numFmt w:val="lowerLetter"/>
      <w:lvlText w:val="%2."/>
      <w:lvlJc w:val="left"/>
      <w:pPr>
        <w:ind w:left="1440" w:hanging="360"/>
      </w:pPr>
    </w:lvl>
    <w:lvl w:ilvl="2" w:tplc="26D03CDA" w:tentative="1">
      <w:start w:val="1"/>
      <w:numFmt w:val="lowerRoman"/>
      <w:lvlText w:val="%3."/>
      <w:lvlJc w:val="right"/>
      <w:pPr>
        <w:ind w:left="2160" w:hanging="180"/>
      </w:pPr>
    </w:lvl>
    <w:lvl w:ilvl="3" w:tplc="CE762558" w:tentative="1">
      <w:start w:val="1"/>
      <w:numFmt w:val="decimal"/>
      <w:lvlText w:val="%4."/>
      <w:lvlJc w:val="left"/>
      <w:pPr>
        <w:ind w:left="2880" w:hanging="360"/>
      </w:pPr>
    </w:lvl>
    <w:lvl w:ilvl="4" w:tplc="2362C296" w:tentative="1">
      <w:start w:val="1"/>
      <w:numFmt w:val="lowerLetter"/>
      <w:lvlText w:val="%5."/>
      <w:lvlJc w:val="left"/>
      <w:pPr>
        <w:ind w:left="3600" w:hanging="360"/>
      </w:pPr>
    </w:lvl>
    <w:lvl w:ilvl="5" w:tplc="A65C9880" w:tentative="1">
      <w:start w:val="1"/>
      <w:numFmt w:val="lowerRoman"/>
      <w:lvlText w:val="%6."/>
      <w:lvlJc w:val="right"/>
      <w:pPr>
        <w:ind w:left="4320" w:hanging="180"/>
      </w:pPr>
    </w:lvl>
    <w:lvl w:ilvl="6" w:tplc="DC88D3E0" w:tentative="1">
      <w:start w:val="1"/>
      <w:numFmt w:val="decimal"/>
      <w:lvlText w:val="%7."/>
      <w:lvlJc w:val="left"/>
      <w:pPr>
        <w:ind w:left="5040" w:hanging="360"/>
      </w:pPr>
    </w:lvl>
    <w:lvl w:ilvl="7" w:tplc="B0786032" w:tentative="1">
      <w:start w:val="1"/>
      <w:numFmt w:val="lowerLetter"/>
      <w:lvlText w:val="%8."/>
      <w:lvlJc w:val="left"/>
      <w:pPr>
        <w:ind w:left="5760" w:hanging="360"/>
      </w:pPr>
    </w:lvl>
    <w:lvl w:ilvl="8" w:tplc="F230D112" w:tentative="1">
      <w:start w:val="1"/>
      <w:numFmt w:val="lowerRoman"/>
      <w:lvlText w:val="%9."/>
      <w:lvlJc w:val="right"/>
      <w:pPr>
        <w:ind w:left="6480" w:hanging="180"/>
      </w:pPr>
    </w:lvl>
  </w:abstractNum>
  <w:abstractNum w:abstractNumId="13" w15:restartNumberingAfterBreak="0">
    <w:nsid w:val="2948792B"/>
    <w:multiLevelType w:val="hybridMultilevel"/>
    <w:tmpl w:val="774AC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15" w15:restartNumberingAfterBreak="0">
    <w:nsid w:val="2BEE1322"/>
    <w:multiLevelType w:val="multilevel"/>
    <w:tmpl w:val="B81C7F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7061EB"/>
    <w:multiLevelType w:val="hybridMultilevel"/>
    <w:tmpl w:val="881E6F58"/>
    <w:lvl w:ilvl="0" w:tplc="372CE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F7F7F"/>
    <w:multiLevelType w:val="hybridMultilevel"/>
    <w:tmpl w:val="E5C2F54A"/>
    <w:lvl w:ilvl="0" w:tplc="05E2ECC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35385EBF"/>
    <w:multiLevelType w:val="hybridMultilevel"/>
    <w:tmpl w:val="C7968264"/>
    <w:lvl w:ilvl="0" w:tplc="6A1E8810">
      <w:start w:val="1"/>
      <w:numFmt w:val="bullet"/>
      <w:lvlText w:val=""/>
      <w:lvlJc w:val="left"/>
      <w:pPr>
        <w:ind w:left="720" w:hanging="360"/>
      </w:pPr>
      <w:rPr>
        <w:rFonts w:ascii="Symbol" w:hAnsi="Symbol" w:hint="default"/>
      </w:rPr>
    </w:lvl>
    <w:lvl w:ilvl="1" w:tplc="4BDE152E">
      <w:start w:val="1"/>
      <w:numFmt w:val="bullet"/>
      <w:lvlText w:val="o"/>
      <w:lvlJc w:val="left"/>
      <w:pPr>
        <w:ind w:left="1440" w:hanging="360"/>
      </w:pPr>
      <w:rPr>
        <w:rFonts w:ascii="Courier New" w:hAnsi="Courier New" w:cs="Courier New" w:hint="default"/>
      </w:rPr>
    </w:lvl>
    <w:lvl w:ilvl="2" w:tplc="D9AAF766" w:tentative="1">
      <w:start w:val="1"/>
      <w:numFmt w:val="bullet"/>
      <w:lvlText w:val=""/>
      <w:lvlJc w:val="left"/>
      <w:pPr>
        <w:ind w:left="2160" w:hanging="360"/>
      </w:pPr>
      <w:rPr>
        <w:rFonts w:ascii="Wingdings" w:hAnsi="Wingdings" w:hint="default"/>
      </w:rPr>
    </w:lvl>
    <w:lvl w:ilvl="3" w:tplc="877E5724" w:tentative="1">
      <w:start w:val="1"/>
      <w:numFmt w:val="bullet"/>
      <w:lvlText w:val=""/>
      <w:lvlJc w:val="left"/>
      <w:pPr>
        <w:ind w:left="2880" w:hanging="360"/>
      </w:pPr>
      <w:rPr>
        <w:rFonts w:ascii="Symbol" w:hAnsi="Symbol" w:hint="default"/>
      </w:rPr>
    </w:lvl>
    <w:lvl w:ilvl="4" w:tplc="9AA6772E" w:tentative="1">
      <w:start w:val="1"/>
      <w:numFmt w:val="bullet"/>
      <w:lvlText w:val="o"/>
      <w:lvlJc w:val="left"/>
      <w:pPr>
        <w:ind w:left="3600" w:hanging="360"/>
      </w:pPr>
      <w:rPr>
        <w:rFonts w:ascii="Courier New" w:hAnsi="Courier New" w:cs="Courier New" w:hint="default"/>
      </w:rPr>
    </w:lvl>
    <w:lvl w:ilvl="5" w:tplc="C4C07B00" w:tentative="1">
      <w:start w:val="1"/>
      <w:numFmt w:val="bullet"/>
      <w:lvlText w:val=""/>
      <w:lvlJc w:val="left"/>
      <w:pPr>
        <w:ind w:left="4320" w:hanging="360"/>
      </w:pPr>
      <w:rPr>
        <w:rFonts w:ascii="Wingdings" w:hAnsi="Wingdings" w:hint="default"/>
      </w:rPr>
    </w:lvl>
    <w:lvl w:ilvl="6" w:tplc="3E62A5A8" w:tentative="1">
      <w:start w:val="1"/>
      <w:numFmt w:val="bullet"/>
      <w:lvlText w:val=""/>
      <w:lvlJc w:val="left"/>
      <w:pPr>
        <w:ind w:left="5040" w:hanging="360"/>
      </w:pPr>
      <w:rPr>
        <w:rFonts w:ascii="Symbol" w:hAnsi="Symbol" w:hint="default"/>
      </w:rPr>
    </w:lvl>
    <w:lvl w:ilvl="7" w:tplc="8E68B7B2" w:tentative="1">
      <w:start w:val="1"/>
      <w:numFmt w:val="bullet"/>
      <w:lvlText w:val="o"/>
      <w:lvlJc w:val="left"/>
      <w:pPr>
        <w:ind w:left="5760" w:hanging="360"/>
      </w:pPr>
      <w:rPr>
        <w:rFonts w:ascii="Courier New" w:hAnsi="Courier New" w:cs="Courier New" w:hint="default"/>
      </w:rPr>
    </w:lvl>
    <w:lvl w:ilvl="8" w:tplc="C5F83904" w:tentative="1">
      <w:start w:val="1"/>
      <w:numFmt w:val="bullet"/>
      <w:lvlText w:val=""/>
      <w:lvlJc w:val="left"/>
      <w:pPr>
        <w:ind w:left="6480" w:hanging="360"/>
      </w:pPr>
      <w:rPr>
        <w:rFonts w:ascii="Wingdings" w:hAnsi="Wingdings" w:hint="default"/>
      </w:rPr>
    </w:lvl>
  </w:abstractNum>
  <w:abstractNum w:abstractNumId="19"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369D757A"/>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1" w15:restartNumberingAfterBreak="0">
    <w:nsid w:val="38723F4C"/>
    <w:multiLevelType w:val="hybridMultilevel"/>
    <w:tmpl w:val="205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052EE"/>
    <w:multiLevelType w:val="hybridMultilevel"/>
    <w:tmpl w:val="6308AD8E"/>
    <w:lvl w:ilvl="0" w:tplc="04090001">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42200975"/>
    <w:multiLevelType w:val="hybridMultilevel"/>
    <w:tmpl w:val="8E6EA71A"/>
    <w:lvl w:ilvl="0" w:tplc="2D58D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88E"/>
    <w:multiLevelType w:val="hybridMultilevel"/>
    <w:tmpl w:val="1018A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7803B7"/>
    <w:multiLevelType w:val="hybridMultilevel"/>
    <w:tmpl w:val="1F02016A"/>
    <w:lvl w:ilvl="0" w:tplc="7C86B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B0AAB"/>
    <w:multiLevelType w:val="hybridMultilevel"/>
    <w:tmpl w:val="84786F3A"/>
    <w:lvl w:ilvl="0" w:tplc="CF265A60">
      <w:start w:val="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482A41A6"/>
    <w:multiLevelType w:val="hybridMultilevel"/>
    <w:tmpl w:val="9BF6D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30" w15:restartNumberingAfterBreak="0">
    <w:nsid w:val="53C45184"/>
    <w:multiLevelType w:val="multilevel"/>
    <w:tmpl w:val="F4C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A46988"/>
    <w:multiLevelType w:val="hybridMultilevel"/>
    <w:tmpl w:val="BF60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33"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34" w15:restartNumberingAfterBreak="0">
    <w:nsid w:val="5D775EB9"/>
    <w:multiLevelType w:val="hybridMultilevel"/>
    <w:tmpl w:val="75885F1E"/>
    <w:lvl w:ilvl="0" w:tplc="D49E53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5DCE6AAC"/>
    <w:multiLevelType w:val="hybridMultilevel"/>
    <w:tmpl w:val="2C04DB42"/>
    <w:lvl w:ilvl="0" w:tplc="F39095AA">
      <w:start w:val="1"/>
      <w:numFmt w:val="bullet"/>
      <w:lvlText w:val=""/>
      <w:lvlJc w:val="left"/>
      <w:pPr>
        <w:ind w:left="720" w:hanging="360"/>
      </w:pPr>
      <w:rPr>
        <w:rFonts w:ascii="Symbol" w:hAnsi="Symbol" w:hint="default"/>
      </w:rPr>
    </w:lvl>
    <w:lvl w:ilvl="1" w:tplc="48427430" w:tentative="1">
      <w:start w:val="1"/>
      <w:numFmt w:val="bullet"/>
      <w:lvlText w:val="o"/>
      <w:lvlJc w:val="left"/>
      <w:pPr>
        <w:ind w:left="1440" w:hanging="360"/>
      </w:pPr>
      <w:rPr>
        <w:rFonts w:ascii="Courier New" w:hAnsi="Courier New" w:cs="Courier New" w:hint="default"/>
      </w:rPr>
    </w:lvl>
    <w:lvl w:ilvl="2" w:tplc="B980F358" w:tentative="1">
      <w:start w:val="1"/>
      <w:numFmt w:val="bullet"/>
      <w:lvlText w:val=""/>
      <w:lvlJc w:val="left"/>
      <w:pPr>
        <w:ind w:left="2160" w:hanging="360"/>
      </w:pPr>
      <w:rPr>
        <w:rFonts w:ascii="Wingdings" w:hAnsi="Wingdings" w:hint="default"/>
      </w:rPr>
    </w:lvl>
    <w:lvl w:ilvl="3" w:tplc="38324D78" w:tentative="1">
      <w:start w:val="1"/>
      <w:numFmt w:val="bullet"/>
      <w:lvlText w:val=""/>
      <w:lvlJc w:val="left"/>
      <w:pPr>
        <w:ind w:left="2880" w:hanging="360"/>
      </w:pPr>
      <w:rPr>
        <w:rFonts w:ascii="Symbol" w:hAnsi="Symbol" w:hint="default"/>
      </w:rPr>
    </w:lvl>
    <w:lvl w:ilvl="4" w:tplc="5A64282A" w:tentative="1">
      <w:start w:val="1"/>
      <w:numFmt w:val="bullet"/>
      <w:lvlText w:val="o"/>
      <w:lvlJc w:val="left"/>
      <w:pPr>
        <w:ind w:left="3600" w:hanging="360"/>
      </w:pPr>
      <w:rPr>
        <w:rFonts w:ascii="Courier New" w:hAnsi="Courier New" w:cs="Courier New" w:hint="default"/>
      </w:rPr>
    </w:lvl>
    <w:lvl w:ilvl="5" w:tplc="570CD5E8" w:tentative="1">
      <w:start w:val="1"/>
      <w:numFmt w:val="bullet"/>
      <w:lvlText w:val=""/>
      <w:lvlJc w:val="left"/>
      <w:pPr>
        <w:ind w:left="4320" w:hanging="360"/>
      </w:pPr>
      <w:rPr>
        <w:rFonts w:ascii="Wingdings" w:hAnsi="Wingdings" w:hint="default"/>
      </w:rPr>
    </w:lvl>
    <w:lvl w:ilvl="6" w:tplc="A2029322" w:tentative="1">
      <w:start w:val="1"/>
      <w:numFmt w:val="bullet"/>
      <w:lvlText w:val=""/>
      <w:lvlJc w:val="left"/>
      <w:pPr>
        <w:ind w:left="5040" w:hanging="360"/>
      </w:pPr>
      <w:rPr>
        <w:rFonts w:ascii="Symbol" w:hAnsi="Symbol" w:hint="default"/>
      </w:rPr>
    </w:lvl>
    <w:lvl w:ilvl="7" w:tplc="03A2DDA6" w:tentative="1">
      <w:start w:val="1"/>
      <w:numFmt w:val="bullet"/>
      <w:lvlText w:val="o"/>
      <w:lvlJc w:val="left"/>
      <w:pPr>
        <w:ind w:left="5760" w:hanging="360"/>
      </w:pPr>
      <w:rPr>
        <w:rFonts w:ascii="Courier New" w:hAnsi="Courier New" w:cs="Courier New" w:hint="default"/>
      </w:rPr>
    </w:lvl>
    <w:lvl w:ilvl="8" w:tplc="AF9096A0" w:tentative="1">
      <w:start w:val="1"/>
      <w:numFmt w:val="bullet"/>
      <w:lvlText w:val=""/>
      <w:lvlJc w:val="left"/>
      <w:pPr>
        <w:ind w:left="6480" w:hanging="360"/>
      </w:pPr>
      <w:rPr>
        <w:rFonts w:ascii="Wingdings" w:hAnsi="Wingdings" w:hint="default"/>
      </w:rPr>
    </w:lvl>
  </w:abstractNum>
  <w:abstractNum w:abstractNumId="36" w15:restartNumberingAfterBreak="0">
    <w:nsid w:val="5E553681"/>
    <w:multiLevelType w:val="hybridMultilevel"/>
    <w:tmpl w:val="68CCF342"/>
    <w:lvl w:ilvl="0" w:tplc="82D47CC6">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37"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703804"/>
    <w:multiLevelType w:val="multilevel"/>
    <w:tmpl w:val="42D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504F7"/>
    <w:multiLevelType w:val="hybridMultilevel"/>
    <w:tmpl w:val="7B700DA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654C6382"/>
    <w:multiLevelType w:val="hybridMultilevel"/>
    <w:tmpl w:val="8CD8AADE"/>
    <w:lvl w:ilvl="0" w:tplc="04090001">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42" w15:restartNumberingAfterBreak="0">
    <w:nsid w:val="776A6143"/>
    <w:multiLevelType w:val="hybridMultilevel"/>
    <w:tmpl w:val="A57AA12E"/>
    <w:lvl w:ilvl="0" w:tplc="CDF83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576DD"/>
    <w:multiLevelType w:val="hybridMultilevel"/>
    <w:tmpl w:val="8B1E7F56"/>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45"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abstractNumId w:val="5"/>
  </w:num>
  <w:num w:numId="2">
    <w:abstractNumId w:val="31"/>
  </w:num>
  <w:num w:numId="3">
    <w:abstractNumId w:val="10"/>
  </w:num>
  <w:num w:numId="4">
    <w:abstractNumId w:val="33"/>
  </w:num>
  <w:num w:numId="5">
    <w:abstractNumId w:val="7"/>
  </w:num>
  <w:num w:numId="6">
    <w:abstractNumId w:val="20"/>
  </w:num>
  <w:num w:numId="7">
    <w:abstractNumId w:val="16"/>
  </w:num>
  <w:num w:numId="8">
    <w:abstractNumId w:val="18"/>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8"/>
  </w:num>
  <w:num w:numId="13">
    <w:abstractNumId w:val="17"/>
  </w:num>
  <w:num w:numId="14">
    <w:abstractNumId w:val="22"/>
  </w:num>
  <w:num w:numId="15">
    <w:abstractNumId w:val="43"/>
  </w:num>
  <w:num w:numId="16">
    <w:abstractNumId w:val="21"/>
  </w:num>
  <w:num w:numId="17">
    <w:abstractNumId w:val="39"/>
  </w:num>
  <w:num w:numId="18">
    <w:abstractNumId w:val="34"/>
  </w:num>
  <w:num w:numId="19">
    <w:abstractNumId w:val="19"/>
  </w:num>
  <w:num w:numId="20">
    <w:abstractNumId w:val="27"/>
  </w:num>
  <w:num w:numId="21">
    <w:abstractNumId w:val="14"/>
  </w:num>
  <w:num w:numId="22">
    <w:abstractNumId w:val="40"/>
  </w:num>
  <w:num w:numId="23">
    <w:abstractNumId w:val="12"/>
  </w:num>
  <w:num w:numId="24">
    <w:abstractNumId w:val="1"/>
  </w:num>
  <w:num w:numId="25">
    <w:abstractNumId w:val="36"/>
  </w:num>
  <w:num w:numId="26">
    <w:abstractNumId w:val="0"/>
  </w:num>
  <w:num w:numId="27">
    <w:abstractNumId w:val="41"/>
  </w:num>
  <w:num w:numId="28">
    <w:abstractNumId w:val="37"/>
  </w:num>
  <w:num w:numId="29">
    <w:abstractNumId w:val="25"/>
  </w:num>
  <w:num w:numId="30">
    <w:abstractNumId w:val="32"/>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num>
  <w:num w:numId="35">
    <w:abstractNumId w:val="8"/>
    <w:lvlOverride w:ilvl="0">
      <w:lvl w:ilvl="0">
        <w:start w:val="1"/>
        <w:numFmt w:val="decimal"/>
        <w:suff w:val="nothing"/>
        <w:lvlText w:val="ARTICLE %1"/>
        <w:lvlJc w:val="left"/>
        <w:rPr>
          <w:rFonts w:ascii="Times New Roman Bold" w:hAnsi="Times New Roman Bold" w:cs="Cambria"/>
          <w:b/>
          <w:bCs/>
          <w:strike w:val="0"/>
          <w:dstrike w:val="0"/>
          <w:sz w:val="24"/>
          <w:szCs w:val="24"/>
        </w:rPr>
      </w:lvl>
    </w:lvlOverride>
    <w:lvlOverride w:ilvl="1">
      <w:lvl w:ilvl="1">
        <w:start w:val="1"/>
        <w:numFmt w:val="decimal"/>
        <w:lvlText w:val="%1.%2"/>
        <w:lvlJc w:val="left"/>
        <w:pPr>
          <w:tabs>
            <w:tab w:val="left" w:pos="1440"/>
          </w:tabs>
          <w:ind w:firstLine="720"/>
        </w:pPr>
        <w:rPr>
          <w:rFonts w:ascii="Times New Roman" w:hAnsi="Times New Roman" w:cs="Times New Roman"/>
          <w:b w:val="0"/>
          <w:bCs w:val="0"/>
          <w:i w:val="0"/>
          <w:iCs w:val="0"/>
          <w:caps w:val="0"/>
          <w:strike w:val="0"/>
          <w:dstrike w:val="0"/>
          <w:sz w:val="24"/>
          <w:szCs w:val="24"/>
        </w:rPr>
      </w:lvl>
    </w:lvlOverride>
    <w:lvlOverride w:ilvl="2">
      <w:lvl w:ilvl="2">
        <w:start w:val="1"/>
        <w:numFmt w:val="lowerLetter"/>
        <w:lvlText w:val="(%3)"/>
        <w:lvlJc w:val="left"/>
        <w:pPr>
          <w:tabs>
            <w:tab w:val="left" w:pos="2250"/>
          </w:tabs>
          <w:ind w:firstLine="1440"/>
        </w:pPr>
        <w:rPr>
          <w:rFonts w:ascii="Times New Roman" w:hAnsi="Times New Roman" w:cs="Times New Roman"/>
          <w:b w:val="0"/>
          <w:i w:val="0"/>
          <w:iCs w:val="0"/>
          <w:strike w:val="0"/>
          <w:dstrike w:val="0"/>
          <w:color w:val="auto"/>
          <w:sz w:val="24"/>
          <w:szCs w:val="24"/>
        </w:rPr>
      </w:lvl>
    </w:lvlOverride>
    <w:lvlOverride w:ilvl="3">
      <w:lvl w:ilvl="3">
        <w:start w:val="1"/>
        <w:numFmt w:val="lowerRoman"/>
        <w:lvlText w:val="(%4)"/>
        <w:lvlJc w:val="left"/>
        <w:pPr>
          <w:tabs>
            <w:tab w:val="left" w:pos="3240"/>
          </w:tabs>
          <w:ind w:left="360" w:firstLine="2160"/>
        </w:pPr>
        <w:rPr>
          <w:rFonts w:ascii="Times New Roman" w:hAnsi="Times New Roman" w:cs="Times New Roman"/>
          <w:b w:val="0"/>
          <w:bCs w:val="0"/>
          <w:i w:val="0"/>
          <w:iCs w:val="0"/>
          <w:strike w:val="0"/>
          <w:dstrike w:val="0"/>
          <w:sz w:val="24"/>
          <w:szCs w:val="24"/>
        </w:rPr>
      </w:lvl>
    </w:lvlOverride>
    <w:lvlOverride w:ilvl="4">
      <w:lvl w:ilvl="4">
        <w:start w:val="1"/>
        <w:numFmt w:val="upperLetter"/>
        <w:lvlText w:val="(%5)"/>
        <w:lvlJc w:val="left"/>
        <w:pPr>
          <w:tabs>
            <w:tab w:val="left" w:pos="3600"/>
          </w:tabs>
          <w:ind w:left="2880"/>
        </w:pPr>
        <w:rPr>
          <w:rFonts w:ascii="Harrington" w:hAnsi="Harrington" w:cs="Cambria"/>
          <w:b w:val="0"/>
          <w:bCs w:val="0"/>
          <w:i w:val="0"/>
          <w:iCs w:val="0"/>
          <w:strike w:val="0"/>
          <w:dstrike w:val="0"/>
          <w:sz w:val="24"/>
          <w:szCs w:val="24"/>
        </w:rPr>
      </w:lvl>
    </w:lvlOverride>
    <w:lvlOverride w:ilvl="5">
      <w:lvl w:ilvl="5">
        <w:start w:val="1"/>
        <w:numFmt w:val="lowerRoman"/>
        <w:lvlText w:val="(%6)"/>
        <w:lvlJc w:val="left"/>
        <w:pPr>
          <w:tabs>
            <w:tab w:val="left" w:pos="1440"/>
          </w:tabs>
          <w:ind w:left="1440"/>
        </w:pPr>
        <w:rPr>
          <w:rFonts w:cs="Times New Roman"/>
          <w:strike w:val="0"/>
          <w:dstrike w:val="0"/>
        </w:rPr>
      </w:lvl>
    </w:lvlOverride>
    <w:lvlOverride w:ilvl="6">
      <w:lvl w:ilvl="6">
        <w:start w:val="1"/>
        <w:numFmt w:val="decimal"/>
        <w:lvlText w:val="%7."/>
        <w:lvlJc w:val="left"/>
        <w:pPr>
          <w:tabs>
            <w:tab w:val="left" w:pos="1440"/>
          </w:tabs>
          <w:ind w:left="1440"/>
        </w:pPr>
        <w:rPr>
          <w:rFonts w:cs="Times New Roman"/>
          <w:strike w:val="0"/>
          <w:dstrike w:val="0"/>
        </w:rPr>
      </w:lvl>
    </w:lvlOverride>
    <w:lvlOverride w:ilvl="7">
      <w:lvl w:ilvl="7">
        <w:start w:val="1"/>
        <w:numFmt w:val="lowerLetter"/>
        <w:lvlText w:val="(%8)"/>
        <w:lvlJc w:val="left"/>
        <w:pPr>
          <w:tabs>
            <w:tab w:val="left" w:pos="1440"/>
          </w:tabs>
          <w:ind w:left="1440"/>
        </w:pPr>
        <w:rPr>
          <w:rFonts w:ascii="Times New Roman" w:eastAsia="Times New Roman" w:hAnsi="Times New Roman" w:cs="Times New Roman"/>
          <w:strike w:val="0"/>
          <w:dstrike w:val="0"/>
        </w:rPr>
      </w:lvl>
    </w:lvlOverride>
    <w:lvlOverride w:ilvl="8">
      <w:lvl w:ilvl="8">
        <w:start w:val="1"/>
        <w:numFmt w:val="lowerRoman"/>
        <w:lvlText w:val="%9."/>
        <w:lvlJc w:val="left"/>
        <w:pPr>
          <w:tabs>
            <w:tab w:val="left" w:pos="1440"/>
          </w:tabs>
          <w:ind w:left="1440"/>
        </w:pPr>
        <w:rPr>
          <w:rFonts w:cs="Times New Roman"/>
          <w:strike w:val="0"/>
          <w:dstrike w:val="0"/>
        </w:rPr>
      </w:lvl>
    </w:lvlOverride>
  </w:num>
  <w:num w:numId="36">
    <w:abstractNumId w:val="8"/>
  </w:num>
  <w:num w:numId="37">
    <w:abstractNumId w:val="42"/>
  </w:num>
  <w:num w:numId="38">
    <w:abstractNumId w:val="11"/>
  </w:num>
  <w:num w:numId="39">
    <w:abstractNumId w:val="6"/>
  </w:num>
  <w:num w:numId="40">
    <w:abstractNumId w:val="28"/>
  </w:num>
  <w:num w:numId="41">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
  </w:num>
  <w:num w:numId="44">
    <w:abstractNumId w:val="23"/>
  </w:num>
  <w:num w:numId="45">
    <w:abstractNumId w:val="44"/>
  </w:num>
  <w:num w:numId="46">
    <w:abstractNumId w:val="2"/>
  </w:num>
  <w:num w:numId="47">
    <w:abstractNumId w:val="45"/>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1FC2"/>
    <w:rsid w:val="00002127"/>
    <w:rsid w:val="00004729"/>
    <w:rsid w:val="00005184"/>
    <w:rsid w:val="000066F5"/>
    <w:rsid w:val="00006EEE"/>
    <w:rsid w:val="00010955"/>
    <w:rsid w:val="000139F4"/>
    <w:rsid w:val="00013AD4"/>
    <w:rsid w:val="000155AA"/>
    <w:rsid w:val="000211DF"/>
    <w:rsid w:val="000271F6"/>
    <w:rsid w:val="0003312F"/>
    <w:rsid w:val="00036807"/>
    <w:rsid w:val="0003721A"/>
    <w:rsid w:val="00037470"/>
    <w:rsid w:val="000469C3"/>
    <w:rsid w:val="0005352D"/>
    <w:rsid w:val="000536FC"/>
    <w:rsid w:val="00065089"/>
    <w:rsid w:val="000650C8"/>
    <w:rsid w:val="00066765"/>
    <w:rsid w:val="0007559C"/>
    <w:rsid w:val="00080E31"/>
    <w:rsid w:val="00081B65"/>
    <w:rsid w:val="000900E3"/>
    <w:rsid w:val="00094A4A"/>
    <w:rsid w:val="00097B1F"/>
    <w:rsid w:val="000A2A89"/>
    <w:rsid w:val="000A303B"/>
    <w:rsid w:val="000B0870"/>
    <w:rsid w:val="000B286C"/>
    <w:rsid w:val="000B4C2A"/>
    <w:rsid w:val="000B4E0D"/>
    <w:rsid w:val="000B64DB"/>
    <w:rsid w:val="000C21BE"/>
    <w:rsid w:val="000C4CCD"/>
    <w:rsid w:val="000C51A1"/>
    <w:rsid w:val="000C6054"/>
    <w:rsid w:val="000C64D3"/>
    <w:rsid w:val="000D3D19"/>
    <w:rsid w:val="000D50B2"/>
    <w:rsid w:val="000D5F88"/>
    <w:rsid w:val="000D6EC6"/>
    <w:rsid w:val="000D7813"/>
    <w:rsid w:val="000E2F15"/>
    <w:rsid w:val="000E63D3"/>
    <w:rsid w:val="000E71CB"/>
    <w:rsid w:val="000F6907"/>
    <w:rsid w:val="001061D2"/>
    <w:rsid w:val="00106528"/>
    <w:rsid w:val="001107BF"/>
    <w:rsid w:val="00111D81"/>
    <w:rsid w:val="0013398A"/>
    <w:rsid w:val="001422BD"/>
    <w:rsid w:val="001423A9"/>
    <w:rsid w:val="00147A2F"/>
    <w:rsid w:val="00151731"/>
    <w:rsid w:val="0015401B"/>
    <w:rsid w:val="001558F3"/>
    <w:rsid w:val="00160B24"/>
    <w:rsid w:val="00161AC7"/>
    <w:rsid w:val="00163B29"/>
    <w:rsid w:val="00163FB2"/>
    <w:rsid w:val="00164B57"/>
    <w:rsid w:val="001662CB"/>
    <w:rsid w:val="00172DCF"/>
    <w:rsid w:val="00174416"/>
    <w:rsid w:val="00181090"/>
    <w:rsid w:val="001829CC"/>
    <w:rsid w:val="00182F8C"/>
    <w:rsid w:val="00183232"/>
    <w:rsid w:val="00183DA9"/>
    <w:rsid w:val="001841B7"/>
    <w:rsid w:val="00193F8C"/>
    <w:rsid w:val="00194D43"/>
    <w:rsid w:val="00195344"/>
    <w:rsid w:val="001957D7"/>
    <w:rsid w:val="00196DDB"/>
    <w:rsid w:val="001978A3"/>
    <w:rsid w:val="001A1866"/>
    <w:rsid w:val="001A1E2E"/>
    <w:rsid w:val="001A39B9"/>
    <w:rsid w:val="001A7BFC"/>
    <w:rsid w:val="001B2A89"/>
    <w:rsid w:val="001B480F"/>
    <w:rsid w:val="001B6AB0"/>
    <w:rsid w:val="001C04E2"/>
    <w:rsid w:val="001C0AD6"/>
    <w:rsid w:val="001C0C2A"/>
    <w:rsid w:val="001C2A90"/>
    <w:rsid w:val="001D0D69"/>
    <w:rsid w:val="001D1A99"/>
    <w:rsid w:val="001D6363"/>
    <w:rsid w:val="001D700D"/>
    <w:rsid w:val="001E43DC"/>
    <w:rsid w:val="001F2FF9"/>
    <w:rsid w:val="001F3217"/>
    <w:rsid w:val="001F71A9"/>
    <w:rsid w:val="0020332D"/>
    <w:rsid w:val="00203569"/>
    <w:rsid w:val="002156B6"/>
    <w:rsid w:val="00222E8E"/>
    <w:rsid w:val="00227065"/>
    <w:rsid w:val="0022758B"/>
    <w:rsid w:val="00227997"/>
    <w:rsid w:val="00234F6E"/>
    <w:rsid w:val="00237663"/>
    <w:rsid w:val="00237B92"/>
    <w:rsid w:val="002438B8"/>
    <w:rsid w:val="002443B2"/>
    <w:rsid w:val="0025626A"/>
    <w:rsid w:val="002623FC"/>
    <w:rsid w:val="00267633"/>
    <w:rsid w:val="002715C3"/>
    <w:rsid w:val="00273945"/>
    <w:rsid w:val="00273C6C"/>
    <w:rsid w:val="00285A5B"/>
    <w:rsid w:val="00292876"/>
    <w:rsid w:val="002928D7"/>
    <w:rsid w:val="002929C5"/>
    <w:rsid w:val="00294E3B"/>
    <w:rsid w:val="002A1729"/>
    <w:rsid w:val="002A3B33"/>
    <w:rsid w:val="002B043C"/>
    <w:rsid w:val="002B3AD3"/>
    <w:rsid w:val="002B3F0D"/>
    <w:rsid w:val="002C23F0"/>
    <w:rsid w:val="002D1471"/>
    <w:rsid w:val="002D2542"/>
    <w:rsid w:val="002D3075"/>
    <w:rsid w:val="002D3114"/>
    <w:rsid w:val="002D3D13"/>
    <w:rsid w:val="002D7833"/>
    <w:rsid w:val="002E1F5F"/>
    <w:rsid w:val="002E2516"/>
    <w:rsid w:val="002E2C17"/>
    <w:rsid w:val="002E5AE0"/>
    <w:rsid w:val="002E5D17"/>
    <w:rsid w:val="002F0E60"/>
    <w:rsid w:val="00302BAD"/>
    <w:rsid w:val="00305BF3"/>
    <w:rsid w:val="00305D1B"/>
    <w:rsid w:val="00306FCA"/>
    <w:rsid w:val="00307CEF"/>
    <w:rsid w:val="00321216"/>
    <w:rsid w:val="00323F9D"/>
    <w:rsid w:val="00326C84"/>
    <w:rsid w:val="00331144"/>
    <w:rsid w:val="003315D1"/>
    <w:rsid w:val="00331787"/>
    <w:rsid w:val="00332AEA"/>
    <w:rsid w:val="00334B47"/>
    <w:rsid w:val="00341CEF"/>
    <w:rsid w:val="00344066"/>
    <w:rsid w:val="00344551"/>
    <w:rsid w:val="00345352"/>
    <w:rsid w:val="00346B70"/>
    <w:rsid w:val="0035005E"/>
    <w:rsid w:val="00350969"/>
    <w:rsid w:val="0035281B"/>
    <w:rsid w:val="00352B7C"/>
    <w:rsid w:val="00355198"/>
    <w:rsid w:val="003551A3"/>
    <w:rsid w:val="003565A0"/>
    <w:rsid w:val="003617F6"/>
    <w:rsid w:val="003623E6"/>
    <w:rsid w:val="003637AA"/>
    <w:rsid w:val="00367A2D"/>
    <w:rsid w:val="0037063E"/>
    <w:rsid w:val="00374198"/>
    <w:rsid w:val="00376ADD"/>
    <w:rsid w:val="003776E7"/>
    <w:rsid w:val="00380855"/>
    <w:rsid w:val="00381DE4"/>
    <w:rsid w:val="0039098B"/>
    <w:rsid w:val="003A5417"/>
    <w:rsid w:val="003B5736"/>
    <w:rsid w:val="003B6319"/>
    <w:rsid w:val="003C1788"/>
    <w:rsid w:val="003C28BF"/>
    <w:rsid w:val="003C4785"/>
    <w:rsid w:val="003C53E1"/>
    <w:rsid w:val="003C6073"/>
    <w:rsid w:val="003C6ADF"/>
    <w:rsid w:val="003D0015"/>
    <w:rsid w:val="003D1F76"/>
    <w:rsid w:val="003E42A6"/>
    <w:rsid w:val="003E4E88"/>
    <w:rsid w:val="003E6E93"/>
    <w:rsid w:val="003F2574"/>
    <w:rsid w:val="003F5336"/>
    <w:rsid w:val="003F7297"/>
    <w:rsid w:val="00402980"/>
    <w:rsid w:val="00403A4D"/>
    <w:rsid w:val="0040739A"/>
    <w:rsid w:val="004108E8"/>
    <w:rsid w:val="00411278"/>
    <w:rsid w:val="004154CE"/>
    <w:rsid w:val="00416E42"/>
    <w:rsid w:val="00425469"/>
    <w:rsid w:val="0042707B"/>
    <w:rsid w:val="00431185"/>
    <w:rsid w:val="004327D8"/>
    <w:rsid w:val="004346D5"/>
    <w:rsid w:val="00436547"/>
    <w:rsid w:val="00445206"/>
    <w:rsid w:val="004470BF"/>
    <w:rsid w:val="00450485"/>
    <w:rsid w:val="00451364"/>
    <w:rsid w:val="00453154"/>
    <w:rsid w:val="004548EA"/>
    <w:rsid w:val="00456957"/>
    <w:rsid w:val="00461888"/>
    <w:rsid w:val="00463554"/>
    <w:rsid w:val="004678DF"/>
    <w:rsid w:val="00471C20"/>
    <w:rsid w:val="00472CD8"/>
    <w:rsid w:val="00475ADD"/>
    <w:rsid w:val="00480682"/>
    <w:rsid w:val="004947A6"/>
    <w:rsid w:val="004A42BA"/>
    <w:rsid w:val="004A5E68"/>
    <w:rsid w:val="004A61CF"/>
    <w:rsid w:val="004B0387"/>
    <w:rsid w:val="004B2EDA"/>
    <w:rsid w:val="004B3393"/>
    <w:rsid w:val="004C21D8"/>
    <w:rsid w:val="004C29EA"/>
    <w:rsid w:val="004C2CC2"/>
    <w:rsid w:val="004C3329"/>
    <w:rsid w:val="004C4953"/>
    <w:rsid w:val="004C74D3"/>
    <w:rsid w:val="004D51CE"/>
    <w:rsid w:val="004E0173"/>
    <w:rsid w:val="004E6F64"/>
    <w:rsid w:val="004F170B"/>
    <w:rsid w:val="004F679B"/>
    <w:rsid w:val="004F697B"/>
    <w:rsid w:val="004F753F"/>
    <w:rsid w:val="005068CD"/>
    <w:rsid w:val="00516CB1"/>
    <w:rsid w:val="00523BF9"/>
    <w:rsid w:val="00530770"/>
    <w:rsid w:val="0053178D"/>
    <w:rsid w:val="005341AD"/>
    <w:rsid w:val="0053570D"/>
    <w:rsid w:val="00535D4F"/>
    <w:rsid w:val="005421DE"/>
    <w:rsid w:val="005424E5"/>
    <w:rsid w:val="0054674B"/>
    <w:rsid w:val="00551818"/>
    <w:rsid w:val="0055231C"/>
    <w:rsid w:val="00555BA1"/>
    <w:rsid w:val="00555F72"/>
    <w:rsid w:val="005721ED"/>
    <w:rsid w:val="00573103"/>
    <w:rsid w:val="00576253"/>
    <w:rsid w:val="00576E5D"/>
    <w:rsid w:val="005945D8"/>
    <w:rsid w:val="00595010"/>
    <w:rsid w:val="005A3C26"/>
    <w:rsid w:val="005A5B1F"/>
    <w:rsid w:val="005A7361"/>
    <w:rsid w:val="005C6000"/>
    <w:rsid w:val="005D2A99"/>
    <w:rsid w:val="005D4A9F"/>
    <w:rsid w:val="005E463E"/>
    <w:rsid w:val="005E5192"/>
    <w:rsid w:val="005E75D3"/>
    <w:rsid w:val="005F0EEA"/>
    <w:rsid w:val="005F2116"/>
    <w:rsid w:val="005F4EC0"/>
    <w:rsid w:val="005F79F0"/>
    <w:rsid w:val="00600713"/>
    <w:rsid w:val="0060192D"/>
    <w:rsid w:val="006019DD"/>
    <w:rsid w:val="0060307C"/>
    <w:rsid w:val="00603AF5"/>
    <w:rsid w:val="006065C7"/>
    <w:rsid w:val="00606DA9"/>
    <w:rsid w:val="00613C82"/>
    <w:rsid w:val="00621EB8"/>
    <w:rsid w:val="00621FAD"/>
    <w:rsid w:val="00622CEA"/>
    <w:rsid w:val="00626DD0"/>
    <w:rsid w:val="0062718F"/>
    <w:rsid w:val="00632F62"/>
    <w:rsid w:val="00633530"/>
    <w:rsid w:val="00636643"/>
    <w:rsid w:val="00642CCF"/>
    <w:rsid w:val="0064721B"/>
    <w:rsid w:val="00651332"/>
    <w:rsid w:val="0065140A"/>
    <w:rsid w:val="00651FF4"/>
    <w:rsid w:val="00652E62"/>
    <w:rsid w:val="00653749"/>
    <w:rsid w:val="00657293"/>
    <w:rsid w:val="00657E90"/>
    <w:rsid w:val="00657F5E"/>
    <w:rsid w:val="00665037"/>
    <w:rsid w:val="006656EC"/>
    <w:rsid w:val="006675B6"/>
    <w:rsid w:val="00671265"/>
    <w:rsid w:val="006773D3"/>
    <w:rsid w:val="00677B1A"/>
    <w:rsid w:val="00677E82"/>
    <w:rsid w:val="0068093C"/>
    <w:rsid w:val="0068266C"/>
    <w:rsid w:val="00683B2C"/>
    <w:rsid w:val="0068424D"/>
    <w:rsid w:val="00687F3B"/>
    <w:rsid w:val="006905C1"/>
    <w:rsid w:val="00694730"/>
    <w:rsid w:val="00697F95"/>
    <w:rsid w:val="006A3E3C"/>
    <w:rsid w:val="006A6C6F"/>
    <w:rsid w:val="006B5B11"/>
    <w:rsid w:val="006C0E67"/>
    <w:rsid w:val="006C1D14"/>
    <w:rsid w:val="006C211B"/>
    <w:rsid w:val="006D5C5C"/>
    <w:rsid w:val="006E13C4"/>
    <w:rsid w:val="006E174E"/>
    <w:rsid w:val="006E32C4"/>
    <w:rsid w:val="006E34F0"/>
    <w:rsid w:val="006E66A5"/>
    <w:rsid w:val="006E7628"/>
    <w:rsid w:val="006F46AA"/>
    <w:rsid w:val="006F7A26"/>
    <w:rsid w:val="00706339"/>
    <w:rsid w:val="00706827"/>
    <w:rsid w:val="007075B1"/>
    <w:rsid w:val="00711934"/>
    <w:rsid w:val="0071222C"/>
    <w:rsid w:val="007132F4"/>
    <w:rsid w:val="00714C0C"/>
    <w:rsid w:val="00723269"/>
    <w:rsid w:val="00723434"/>
    <w:rsid w:val="00723FE2"/>
    <w:rsid w:val="00733A32"/>
    <w:rsid w:val="00734AEC"/>
    <w:rsid w:val="00737505"/>
    <w:rsid w:val="00743699"/>
    <w:rsid w:val="00743AFF"/>
    <w:rsid w:val="00745DD8"/>
    <w:rsid w:val="0075360A"/>
    <w:rsid w:val="00753CE2"/>
    <w:rsid w:val="00753F1A"/>
    <w:rsid w:val="007541C2"/>
    <w:rsid w:val="00756383"/>
    <w:rsid w:val="007565F5"/>
    <w:rsid w:val="00761E5F"/>
    <w:rsid w:val="00764095"/>
    <w:rsid w:val="00766691"/>
    <w:rsid w:val="00766744"/>
    <w:rsid w:val="00775FE1"/>
    <w:rsid w:val="00780F0D"/>
    <w:rsid w:val="00786632"/>
    <w:rsid w:val="00791DCB"/>
    <w:rsid w:val="007A21EB"/>
    <w:rsid w:val="007A2A9D"/>
    <w:rsid w:val="007A3DF5"/>
    <w:rsid w:val="007B10E5"/>
    <w:rsid w:val="007B2D80"/>
    <w:rsid w:val="007B5665"/>
    <w:rsid w:val="007B7424"/>
    <w:rsid w:val="007C0929"/>
    <w:rsid w:val="007C67F7"/>
    <w:rsid w:val="007D1AFD"/>
    <w:rsid w:val="007D2545"/>
    <w:rsid w:val="007D2EB4"/>
    <w:rsid w:val="007D35A0"/>
    <w:rsid w:val="007D5FB3"/>
    <w:rsid w:val="007E2924"/>
    <w:rsid w:val="007E2B36"/>
    <w:rsid w:val="007E6D84"/>
    <w:rsid w:val="007E7AEF"/>
    <w:rsid w:val="007F014B"/>
    <w:rsid w:val="007F1E0E"/>
    <w:rsid w:val="007F41E1"/>
    <w:rsid w:val="0080155D"/>
    <w:rsid w:val="00805423"/>
    <w:rsid w:val="00811D6E"/>
    <w:rsid w:val="00811DA9"/>
    <w:rsid w:val="00813B68"/>
    <w:rsid w:val="00815626"/>
    <w:rsid w:val="008233E3"/>
    <w:rsid w:val="0082691A"/>
    <w:rsid w:val="00826AE6"/>
    <w:rsid w:val="0083093C"/>
    <w:rsid w:val="008357A5"/>
    <w:rsid w:val="008368B8"/>
    <w:rsid w:val="00840344"/>
    <w:rsid w:val="00841334"/>
    <w:rsid w:val="0084468C"/>
    <w:rsid w:val="00850A6F"/>
    <w:rsid w:val="008513CF"/>
    <w:rsid w:val="0085368E"/>
    <w:rsid w:val="00853B5A"/>
    <w:rsid w:val="00865D23"/>
    <w:rsid w:val="008663BA"/>
    <w:rsid w:val="00867545"/>
    <w:rsid w:val="00867DD9"/>
    <w:rsid w:val="00867F52"/>
    <w:rsid w:val="008714D5"/>
    <w:rsid w:val="0087320C"/>
    <w:rsid w:val="008821D0"/>
    <w:rsid w:val="00882BDB"/>
    <w:rsid w:val="00891F47"/>
    <w:rsid w:val="0089367E"/>
    <w:rsid w:val="00893D4B"/>
    <w:rsid w:val="00894648"/>
    <w:rsid w:val="00894C08"/>
    <w:rsid w:val="008969F1"/>
    <w:rsid w:val="008A0AA6"/>
    <w:rsid w:val="008A18B1"/>
    <w:rsid w:val="008A21DA"/>
    <w:rsid w:val="008B0DD7"/>
    <w:rsid w:val="008B3218"/>
    <w:rsid w:val="008B7B85"/>
    <w:rsid w:val="008C067E"/>
    <w:rsid w:val="008C27C8"/>
    <w:rsid w:val="008C4A4B"/>
    <w:rsid w:val="008C7323"/>
    <w:rsid w:val="008D0933"/>
    <w:rsid w:val="008D3E57"/>
    <w:rsid w:val="008D3F69"/>
    <w:rsid w:val="008E0199"/>
    <w:rsid w:val="008E1245"/>
    <w:rsid w:val="008E1D05"/>
    <w:rsid w:val="008E286A"/>
    <w:rsid w:val="008E6DC1"/>
    <w:rsid w:val="008E73A4"/>
    <w:rsid w:val="008F184E"/>
    <w:rsid w:val="008F2FD0"/>
    <w:rsid w:val="008F4EDC"/>
    <w:rsid w:val="008F53D7"/>
    <w:rsid w:val="008F6CB2"/>
    <w:rsid w:val="009134C2"/>
    <w:rsid w:val="00915BDD"/>
    <w:rsid w:val="00917FCB"/>
    <w:rsid w:val="00924152"/>
    <w:rsid w:val="00927684"/>
    <w:rsid w:val="009276D2"/>
    <w:rsid w:val="00944F74"/>
    <w:rsid w:val="00945F80"/>
    <w:rsid w:val="00951245"/>
    <w:rsid w:val="00954F9A"/>
    <w:rsid w:val="00955357"/>
    <w:rsid w:val="0096282F"/>
    <w:rsid w:val="009651BD"/>
    <w:rsid w:val="0096703F"/>
    <w:rsid w:val="00976FF5"/>
    <w:rsid w:val="00977D3E"/>
    <w:rsid w:val="0098039F"/>
    <w:rsid w:val="00980F45"/>
    <w:rsid w:val="00990732"/>
    <w:rsid w:val="00996ABB"/>
    <w:rsid w:val="009977BF"/>
    <w:rsid w:val="009A1098"/>
    <w:rsid w:val="009A3E27"/>
    <w:rsid w:val="009A4ABA"/>
    <w:rsid w:val="009A6053"/>
    <w:rsid w:val="009B04CB"/>
    <w:rsid w:val="009B14C8"/>
    <w:rsid w:val="009C1D25"/>
    <w:rsid w:val="009C7891"/>
    <w:rsid w:val="009D02D0"/>
    <w:rsid w:val="009D4797"/>
    <w:rsid w:val="009D7867"/>
    <w:rsid w:val="009E049D"/>
    <w:rsid w:val="009E0E2A"/>
    <w:rsid w:val="009E1AAB"/>
    <w:rsid w:val="009E1DB9"/>
    <w:rsid w:val="009E1E14"/>
    <w:rsid w:val="009E3F78"/>
    <w:rsid w:val="009E53C7"/>
    <w:rsid w:val="009E71ED"/>
    <w:rsid w:val="00A00F7D"/>
    <w:rsid w:val="00A04D79"/>
    <w:rsid w:val="00A04EAF"/>
    <w:rsid w:val="00A06DDF"/>
    <w:rsid w:val="00A1174F"/>
    <w:rsid w:val="00A16DCD"/>
    <w:rsid w:val="00A2348A"/>
    <w:rsid w:val="00A259E5"/>
    <w:rsid w:val="00A26B61"/>
    <w:rsid w:val="00A26B87"/>
    <w:rsid w:val="00A271D5"/>
    <w:rsid w:val="00A2735B"/>
    <w:rsid w:val="00A321AF"/>
    <w:rsid w:val="00A325F1"/>
    <w:rsid w:val="00A330C0"/>
    <w:rsid w:val="00A3506E"/>
    <w:rsid w:val="00A35633"/>
    <w:rsid w:val="00A35BC3"/>
    <w:rsid w:val="00A443E9"/>
    <w:rsid w:val="00A476D6"/>
    <w:rsid w:val="00A51C83"/>
    <w:rsid w:val="00A5314B"/>
    <w:rsid w:val="00A6184C"/>
    <w:rsid w:val="00A65187"/>
    <w:rsid w:val="00A67EB7"/>
    <w:rsid w:val="00A70B29"/>
    <w:rsid w:val="00A71FD2"/>
    <w:rsid w:val="00A736F3"/>
    <w:rsid w:val="00A83C6D"/>
    <w:rsid w:val="00A9011A"/>
    <w:rsid w:val="00A90914"/>
    <w:rsid w:val="00A911C4"/>
    <w:rsid w:val="00A914C6"/>
    <w:rsid w:val="00A9571C"/>
    <w:rsid w:val="00A95903"/>
    <w:rsid w:val="00A96A75"/>
    <w:rsid w:val="00A96DBE"/>
    <w:rsid w:val="00AA0784"/>
    <w:rsid w:val="00AA5B7D"/>
    <w:rsid w:val="00AA6E6C"/>
    <w:rsid w:val="00AB04EF"/>
    <w:rsid w:val="00AB0B37"/>
    <w:rsid w:val="00AB2540"/>
    <w:rsid w:val="00AB431B"/>
    <w:rsid w:val="00AB5AE8"/>
    <w:rsid w:val="00AC0EF7"/>
    <w:rsid w:val="00AC2B2E"/>
    <w:rsid w:val="00AC6711"/>
    <w:rsid w:val="00AD0C17"/>
    <w:rsid w:val="00AD12F8"/>
    <w:rsid w:val="00AD2DF9"/>
    <w:rsid w:val="00AD5DE8"/>
    <w:rsid w:val="00AE01F2"/>
    <w:rsid w:val="00AE7634"/>
    <w:rsid w:val="00AF593A"/>
    <w:rsid w:val="00B068DF"/>
    <w:rsid w:val="00B07B4E"/>
    <w:rsid w:val="00B07FF8"/>
    <w:rsid w:val="00B11DCA"/>
    <w:rsid w:val="00B15B62"/>
    <w:rsid w:val="00B205A9"/>
    <w:rsid w:val="00B20CE2"/>
    <w:rsid w:val="00B227B5"/>
    <w:rsid w:val="00B23980"/>
    <w:rsid w:val="00B264DE"/>
    <w:rsid w:val="00B3011E"/>
    <w:rsid w:val="00B33F7D"/>
    <w:rsid w:val="00B400DC"/>
    <w:rsid w:val="00B44238"/>
    <w:rsid w:val="00B50942"/>
    <w:rsid w:val="00B52B33"/>
    <w:rsid w:val="00B5317D"/>
    <w:rsid w:val="00B53799"/>
    <w:rsid w:val="00B5760D"/>
    <w:rsid w:val="00B6014E"/>
    <w:rsid w:val="00B61010"/>
    <w:rsid w:val="00B611B6"/>
    <w:rsid w:val="00B662FE"/>
    <w:rsid w:val="00B7289E"/>
    <w:rsid w:val="00B76FCD"/>
    <w:rsid w:val="00B80690"/>
    <w:rsid w:val="00B83533"/>
    <w:rsid w:val="00B83AD3"/>
    <w:rsid w:val="00B85ED3"/>
    <w:rsid w:val="00B85EEF"/>
    <w:rsid w:val="00B96545"/>
    <w:rsid w:val="00B96D1F"/>
    <w:rsid w:val="00BA5DB5"/>
    <w:rsid w:val="00BB6201"/>
    <w:rsid w:val="00BB65E1"/>
    <w:rsid w:val="00BC1D36"/>
    <w:rsid w:val="00BD1A29"/>
    <w:rsid w:val="00BD544E"/>
    <w:rsid w:val="00BD6E39"/>
    <w:rsid w:val="00BD754F"/>
    <w:rsid w:val="00BF2F1E"/>
    <w:rsid w:val="00BF2F71"/>
    <w:rsid w:val="00BF697A"/>
    <w:rsid w:val="00BF6C2C"/>
    <w:rsid w:val="00BF6FE9"/>
    <w:rsid w:val="00C026F1"/>
    <w:rsid w:val="00C027A1"/>
    <w:rsid w:val="00C051F2"/>
    <w:rsid w:val="00C108C2"/>
    <w:rsid w:val="00C10A96"/>
    <w:rsid w:val="00C13555"/>
    <w:rsid w:val="00C17F06"/>
    <w:rsid w:val="00C2016B"/>
    <w:rsid w:val="00C20362"/>
    <w:rsid w:val="00C20935"/>
    <w:rsid w:val="00C2274B"/>
    <w:rsid w:val="00C22B7C"/>
    <w:rsid w:val="00C26A98"/>
    <w:rsid w:val="00C27A40"/>
    <w:rsid w:val="00C35C44"/>
    <w:rsid w:val="00C36A24"/>
    <w:rsid w:val="00C417D7"/>
    <w:rsid w:val="00C422FB"/>
    <w:rsid w:val="00C46B37"/>
    <w:rsid w:val="00C63B51"/>
    <w:rsid w:val="00C674C4"/>
    <w:rsid w:val="00C67823"/>
    <w:rsid w:val="00C67A0B"/>
    <w:rsid w:val="00C710BB"/>
    <w:rsid w:val="00C72D96"/>
    <w:rsid w:val="00C7611E"/>
    <w:rsid w:val="00C76487"/>
    <w:rsid w:val="00C8012F"/>
    <w:rsid w:val="00C828E8"/>
    <w:rsid w:val="00C87926"/>
    <w:rsid w:val="00CA1CCD"/>
    <w:rsid w:val="00CA3AD8"/>
    <w:rsid w:val="00CA6FF4"/>
    <w:rsid w:val="00CC0F8D"/>
    <w:rsid w:val="00CC62DA"/>
    <w:rsid w:val="00CF2171"/>
    <w:rsid w:val="00CF4D7B"/>
    <w:rsid w:val="00CF67C0"/>
    <w:rsid w:val="00CF72CC"/>
    <w:rsid w:val="00D04EEA"/>
    <w:rsid w:val="00D0674F"/>
    <w:rsid w:val="00D13A72"/>
    <w:rsid w:val="00D14F42"/>
    <w:rsid w:val="00D20224"/>
    <w:rsid w:val="00D27622"/>
    <w:rsid w:val="00D30F3E"/>
    <w:rsid w:val="00D31EC4"/>
    <w:rsid w:val="00D402F4"/>
    <w:rsid w:val="00D403F5"/>
    <w:rsid w:val="00D50BDD"/>
    <w:rsid w:val="00D5195B"/>
    <w:rsid w:val="00D51CE3"/>
    <w:rsid w:val="00D53541"/>
    <w:rsid w:val="00D537D1"/>
    <w:rsid w:val="00D539B1"/>
    <w:rsid w:val="00D61C7B"/>
    <w:rsid w:val="00D622B3"/>
    <w:rsid w:val="00D62F73"/>
    <w:rsid w:val="00D7172B"/>
    <w:rsid w:val="00D7519F"/>
    <w:rsid w:val="00D75F54"/>
    <w:rsid w:val="00D84ACE"/>
    <w:rsid w:val="00D85FEF"/>
    <w:rsid w:val="00D86C1D"/>
    <w:rsid w:val="00D8721D"/>
    <w:rsid w:val="00D94079"/>
    <w:rsid w:val="00D94D74"/>
    <w:rsid w:val="00D96C1E"/>
    <w:rsid w:val="00DA66E7"/>
    <w:rsid w:val="00DA77F8"/>
    <w:rsid w:val="00DB5202"/>
    <w:rsid w:val="00DC0E4F"/>
    <w:rsid w:val="00DC1223"/>
    <w:rsid w:val="00DD03E1"/>
    <w:rsid w:val="00DD3073"/>
    <w:rsid w:val="00DD722B"/>
    <w:rsid w:val="00DE48D5"/>
    <w:rsid w:val="00DF489D"/>
    <w:rsid w:val="00DF4CE3"/>
    <w:rsid w:val="00E01EB0"/>
    <w:rsid w:val="00E1000B"/>
    <w:rsid w:val="00E101EF"/>
    <w:rsid w:val="00E1061B"/>
    <w:rsid w:val="00E12285"/>
    <w:rsid w:val="00E1427B"/>
    <w:rsid w:val="00E14AFC"/>
    <w:rsid w:val="00E15254"/>
    <w:rsid w:val="00E1558E"/>
    <w:rsid w:val="00E16B50"/>
    <w:rsid w:val="00E22CF3"/>
    <w:rsid w:val="00E23AE4"/>
    <w:rsid w:val="00E257C6"/>
    <w:rsid w:val="00E2684C"/>
    <w:rsid w:val="00E429F6"/>
    <w:rsid w:val="00E5534B"/>
    <w:rsid w:val="00E57B38"/>
    <w:rsid w:val="00E61688"/>
    <w:rsid w:val="00E629B1"/>
    <w:rsid w:val="00E63FA0"/>
    <w:rsid w:val="00E64814"/>
    <w:rsid w:val="00E76649"/>
    <w:rsid w:val="00E76FF7"/>
    <w:rsid w:val="00E828E6"/>
    <w:rsid w:val="00E861BD"/>
    <w:rsid w:val="00E87731"/>
    <w:rsid w:val="00E92B40"/>
    <w:rsid w:val="00E93FA5"/>
    <w:rsid w:val="00EA095E"/>
    <w:rsid w:val="00EA6438"/>
    <w:rsid w:val="00EB123B"/>
    <w:rsid w:val="00EB1DBE"/>
    <w:rsid w:val="00EB7B2B"/>
    <w:rsid w:val="00EC0074"/>
    <w:rsid w:val="00EC01E3"/>
    <w:rsid w:val="00EC0AC1"/>
    <w:rsid w:val="00ED3172"/>
    <w:rsid w:val="00EE0360"/>
    <w:rsid w:val="00EE499E"/>
    <w:rsid w:val="00EF0C61"/>
    <w:rsid w:val="00EF324B"/>
    <w:rsid w:val="00EF4B8E"/>
    <w:rsid w:val="00EF50A8"/>
    <w:rsid w:val="00F01DF8"/>
    <w:rsid w:val="00F04BD6"/>
    <w:rsid w:val="00F06C92"/>
    <w:rsid w:val="00F11CF6"/>
    <w:rsid w:val="00F11ED3"/>
    <w:rsid w:val="00F13B2B"/>
    <w:rsid w:val="00F14848"/>
    <w:rsid w:val="00F16898"/>
    <w:rsid w:val="00F17F69"/>
    <w:rsid w:val="00F228EF"/>
    <w:rsid w:val="00F2422C"/>
    <w:rsid w:val="00F24DA9"/>
    <w:rsid w:val="00F27EF3"/>
    <w:rsid w:val="00F32FC5"/>
    <w:rsid w:val="00F3434A"/>
    <w:rsid w:val="00F403EA"/>
    <w:rsid w:val="00F4049A"/>
    <w:rsid w:val="00F44559"/>
    <w:rsid w:val="00F50E05"/>
    <w:rsid w:val="00F50E7F"/>
    <w:rsid w:val="00F52FE5"/>
    <w:rsid w:val="00F53BC8"/>
    <w:rsid w:val="00F55CB7"/>
    <w:rsid w:val="00F6051A"/>
    <w:rsid w:val="00F64CD2"/>
    <w:rsid w:val="00F70492"/>
    <w:rsid w:val="00F71E50"/>
    <w:rsid w:val="00F72A9F"/>
    <w:rsid w:val="00F75CB9"/>
    <w:rsid w:val="00F8190A"/>
    <w:rsid w:val="00F82297"/>
    <w:rsid w:val="00F85E66"/>
    <w:rsid w:val="00F87DED"/>
    <w:rsid w:val="00F9040C"/>
    <w:rsid w:val="00F90630"/>
    <w:rsid w:val="00F9110B"/>
    <w:rsid w:val="00F925F4"/>
    <w:rsid w:val="00F93098"/>
    <w:rsid w:val="00F95AD8"/>
    <w:rsid w:val="00FA20FA"/>
    <w:rsid w:val="00FA35A2"/>
    <w:rsid w:val="00FA5548"/>
    <w:rsid w:val="00FA66DA"/>
    <w:rsid w:val="00FB143D"/>
    <w:rsid w:val="00FB1787"/>
    <w:rsid w:val="00FC1FEC"/>
    <w:rsid w:val="00FC4821"/>
    <w:rsid w:val="00FC4951"/>
    <w:rsid w:val="00FD4644"/>
    <w:rsid w:val="00FE2430"/>
    <w:rsid w:val="00FE3176"/>
    <w:rsid w:val="00FE78FC"/>
    <w:rsid w:val="00FF104D"/>
    <w:rsid w:val="00FF39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8FD39"/>
  <w15:docId w15:val="{A7802A1A-7DCD-4C76-AF33-1BBB909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30"/>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30"/>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30"/>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30"/>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30"/>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30"/>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30"/>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30"/>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30"/>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27"/>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semiHidden/>
    <w:unhideWhenUsed/>
    <w:rsid w:val="00D94079"/>
    <w:pPr>
      <w:spacing w:after="120"/>
    </w:pPr>
  </w:style>
  <w:style w:type="character" w:customStyle="1" w:styleId="BodyTextChar">
    <w:name w:val="Body Text Char"/>
    <w:basedOn w:val="DefaultParagraphFont"/>
    <w:link w:val="BodyText"/>
    <w:uiPriority w:val="99"/>
    <w:semiHidden/>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31"/>
      </w:numPr>
      <w:spacing w:after="240"/>
      <w:jc w:val="center"/>
      <w:outlineLvl w:val="0"/>
    </w:pPr>
    <w:rPr>
      <w:rFonts w:eastAsia="Times New Roman"/>
      <w:b/>
      <w:caps/>
      <w:szCs w:val="20"/>
    </w:rPr>
  </w:style>
  <w:style w:type="paragraph" w:customStyle="1" w:styleId="ArticleL2">
    <w:name w:val="Article_L2"/>
    <w:basedOn w:val="ArticleL1"/>
    <w:next w:val="BodyText"/>
    <w:link w:val="ArticleL2Char"/>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rsid w:val="007C67F7"/>
    <w:pPr>
      <w:numPr>
        <w:ilvl w:val="3"/>
      </w:numPr>
      <w:tabs>
        <w:tab w:val="clear" w:pos="2880"/>
      </w:tabs>
      <w:ind w:left="2880" w:hanging="360"/>
      <w:outlineLvl w:val="3"/>
    </w:pPr>
  </w:style>
  <w:style w:type="paragraph" w:customStyle="1" w:styleId="ArticleL5">
    <w:name w:val="Article_L5"/>
    <w:basedOn w:val="ArticleL4"/>
    <w:next w:val="BodyText"/>
    <w:rsid w:val="007C67F7"/>
    <w:pPr>
      <w:numPr>
        <w:ilvl w:val="4"/>
      </w:numPr>
      <w:tabs>
        <w:tab w:val="clear" w:pos="3600"/>
      </w:tabs>
      <w:ind w:left="3600" w:hanging="360"/>
      <w:outlineLvl w:val="4"/>
    </w:pPr>
  </w:style>
  <w:style w:type="paragraph" w:customStyle="1" w:styleId="ArticleL6">
    <w:name w:val="Article_L6"/>
    <w:basedOn w:val="ArticleL5"/>
    <w:next w:val="BodyText"/>
    <w:rsid w:val="007C67F7"/>
    <w:pPr>
      <w:numPr>
        <w:ilvl w:val="5"/>
      </w:numPr>
      <w:tabs>
        <w:tab w:val="clear" w:pos="4320"/>
      </w:tabs>
      <w:ind w:left="4320" w:hanging="180"/>
      <w:jc w:val="left"/>
      <w:outlineLvl w:val="5"/>
    </w:pPr>
  </w:style>
  <w:style w:type="paragraph" w:customStyle="1" w:styleId="ArticleL7">
    <w:name w:val="Article_L7"/>
    <w:basedOn w:val="ArticleL6"/>
    <w:next w:val="BodyText"/>
    <w:rsid w:val="007C67F7"/>
    <w:pPr>
      <w:numPr>
        <w:ilvl w:val="6"/>
      </w:numPr>
      <w:tabs>
        <w:tab w:val="clear" w:pos="5040"/>
      </w:tabs>
      <w:ind w:left="5040" w:hanging="360"/>
      <w:outlineLvl w:val="6"/>
    </w:pPr>
  </w:style>
  <w:style w:type="paragraph" w:customStyle="1" w:styleId="ArticleL8">
    <w:name w:val="Article_L8"/>
    <w:basedOn w:val="ArticleL7"/>
    <w:next w:val="BodyText"/>
    <w:rsid w:val="007C67F7"/>
    <w:pPr>
      <w:numPr>
        <w:ilvl w:val="7"/>
      </w:numPr>
      <w:tabs>
        <w:tab w:val="clear" w:pos="5760"/>
      </w:tabs>
      <w:ind w:left="5760" w:hanging="360"/>
      <w:outlineLvl w:val="7"/>
    </w:pPr>
  </w:style>
  <w:style w:type="paragraph" w:customStyle="1" w:styleId="ArticleL9">
    <w:name w:val="Article_L9"/>
    <w:basedOn w:val="ArticleL8"/>
    <w:next w:val="BodyText"/>
    <w:rsid w:val="007C67F7"/>
    <w:pPr>
      <w:numPr>
        <w:ilvl w:val="8"/>
      </w:numPr>
      <w:tabs>
        <w:tab w:val="clear" w:pos="6480"/>
      </w:tabs>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nhideWhenUsed/>
    <w:rsid w:val="00C87926"/>
    <w:rPr>
      <w:rFonts w:eastAsiaTheme="minorHAnsi"/>
      <w:sz w:val="20"/>
      <w:szCs w:val="20"/>
    </w:rPr>
  </w:style>
  <w:style w:type="character" w:customStyle="1" w:styleId="FootnoteTextChar">
    <w:name w:val="Footnote Text Char"/>
    <w:basedOn w:val="DefaultParagraphFont"/>
    <w:link w:val="FootnoteText"/>
    <w:rsid w:val="00C87926"/>
    <w:rPr>
      <w:rFonts w:ascii="Times New Roman" w:eastAsiaTheme="minorHAnsi" w:hAnsi="Times New Roman" w:cs="Times New Roman"/>
      <w:sz w:val="20"/>
      <w:szCs w:val="20"/>
    </w:rPr>
  </w:style>
  <w:style w:type="character" w:styleId="FootnoteReference">
    <w:name w:val="footnote reference"/>
    <w:aliases w:val="o"/>
    <w:basedOn w:val="DefaultParagraphFont"/>
    <w:uiPriority w:val="99"/>
    <w:unhideWhenUsed/>
    <w:rsid w:val="00C87926"/>
    <w:rPr>
      <w:vertAlign w:val="superscript"/>
    </w:rPr>
  </w:style>
  <w:style w:type="character" w:styleId="PageNumber">
    <w:name w:val="page number"/>
    <w:basedOn w:val="DefaultParagraphFont"/>
    <w:uiPriority w:val="99"/>
    <w:semiHidden/>
    <w:unhideWhenUsed/>
    <w:rsid w:val="00C26A98"/>
  </w:style>
  <w:style w:type="character" w:customStyle="1" w:styleId="ArticleL2Char">
    <w:name w:val="Article_L2 Char"/>
    <w:basedOn w:val="DefaultParagraphFont"/>
    <w:link w:val="ArticleL2"/>
    <w:rsid w:val="007565F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0276E0794E45AFAFCEFC03AB9706" ma:contentTypeVersion="4" ma:contentTypeDescription="Create a new document." ma:contentTypeScope="" ma:versionID="77d23267f4911038a91869fad463f4f7">
  <xsd:schema xmlns:xsd="http://www.w3.org/2001/XMLSchema" xmlns:xs="http://www.w3.org/2001/XMLSchema" xmlns:p="http://schemas.microsoft.com/office/2006/metadata/properties" xmlns:ns2="d51967b0-a657-4a22-a7fa-f39df2d59f8f" xmlns:ns3="6e22f28a-6e3d-4b07-8927-7895cddf8c93" targetNamespace="http://schemas.microsoft.com/office/2006/metadata/properties" ma:root="true" ma:fieldsID="96d0fb2107c2e16d2dea2dabbe426f26" ns2:_="" ns3:_="">
    <xsd:import namespace="d51967b0-a657-4a22-a7fa-f39df2d59f8f"/>
    <xsd:import namespace="6e22f28a-6e3d-4b07-8927-7895cddf8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67b0-a657-4a22-a7fa-f39df2d59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2f28a-6e3d-4b07-8927-7895cddf8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91C7-177E-4170-B5F8-15AB4BFF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67b0-a657-4a22-a7fa-f39df2d59f8f"/>
    <ds:schemaRef ds:uri="6e22f28a-6e3d-4b07-8927-7895cddf8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3.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C88837-170E-4DA6-90CA-630FB71C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3981</Words>
  <Characters>22696</Characters>
  <Application>Microsoft Office Word</Application>
  <DocSecurity>0</DocSecurity>
  <Lines>189</Lines>
  <Paragraphs>53</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3Degrees, Inc.</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Nelson</dc:creator>
  <cp:lastModifiedBy>David Potovsky</cp:lastModifiedBy>
  <cp:revision>4</cp:revision>
  <cp:lastPrinted>2020-01-06T21:40:00Z</cp:lastPrinted>
  <dcterms:created xsi:type="dcterms:W3CDTF">2020-01-24T01:03:00Z</dcterms:created>
  <dcterms:modified xsi:type="dcterms:W3CDTF">2020-01-29T21:54:00Z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0x010100C72C0276E0794E45AFAFCEFC03AB9706</vt:lpwstr>
  </property>
  <property fmtid="{D5CDD505-2E9C-101B-9397-08002B2CF9AE}" pid="4" name="NSCPROP_SA">
    <vt:lpwstr>C:\Users\Admin\Desktop\CALIFORNIA\07.MBCP,SVCE 입찰\SVCEMBCP_JointRFO_TermSheet_Samsung Glover.docx</vt:lpwstr>
  </property>
</Properties>
</file>