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stylesWithEffects.xml" ContentType="application/vnd.ms-word.stylesWithEffects+xml"/>
  <Override PartName="/word/styles.xml" ContentType="application/vnd.openxmlformats-officedocument.wordprocessingml.styles+xml"/>
  <Override PartName="/word/endnotes.xml" ContentType="application/vnd.openxmlformats-officedocument.wordprocessingml.endnotes+xml"/>
  <Override PartName="/word/header3.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footnotes.xml" ContentType="application/vnd.openxmlformats-officedocument.wordprocessingml.footnotes+xml"/>
  <Override PartName="/word/footer2.xml" ContentType="application/vnd.openxmlformats-officedocument.wordprocessingml.footer+xml"/>
  <Override PartName="/word/webSettings.xml" ContentType="application/vnd.openxmlformats-officedocument.wordprocessingml.webSettings+xml"/>
  <Override PartName="/word/footer5.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92B" w:rsidRDefault="00BC192B" w:rsidP="00BC192B">
      <w:pPr>
        <w:jc w:val="center"/>
        <w:rPr>
          <w:b/>
          <w:sz w:val="22"/>
          <w:szCs w:val="22"/>
        </w:rPr>
      </w:pPr>
      <w:r>
        <w:rPr>
          <w:b/>
          <w:sz w:val="22"/>
          <w:szCs w:val="22"/>
        </w:rPr>
        <w:t xml:space="preserve">PURCHASE AND SALE OF CALIFORNIA RPS </w:t>
      </w:r>
      <w:r w:rsidR="0034554E">
        <w:rPr>
          <w:b/>
          <w:sz w:val="22"/>
          <w:szCs w:val="22"/>
        </w:rPr>
        <w:t xml:space="preserve">CATEGORY 2 </w:t>
      </w:r>
      <w:r>
        <w:rPr>
          <w:b/>
          <w:sz w:val="22"/>
          <w:szCs w:val="22"/>
        </w:rPr>
        <w:t xml:space="preserve">PRODUCT </w:t>
      </w:r>
    </w:p>
    <w:p w:rsidR="00BC192B" w:rsidRDefault="00BC192B" w:rsidP="00BC192B">
      <w:pPr>
        <w:jc w:val="center"/>
        <w:rPr>
          <w:b/>
          <w:sz w:val="22"/>
          <w:szCs w:val="22"/>
        </w:rPr>
      </w:pPr>
    </w:p>
    <w:p w:rsidR="00190197" w:rsidRDefault="00190197" w:rsidP="00BC192B">
      <w:pPr>
        <w:jc w:val="center"/>
        <w:rPr>
          <w:b/>
          <w:sz w:val="22"/>
          <w:szCs w:val="22"/>
        </w:rPr>
      </w:pPr>
      <w:r>
        <w:rPr>
          <w:b/>
          <w:sz w:val="22"/>
          <w:szCs w:val="22"/>
        </w:rPr>
        <w:t>MASTER POWER PURCHASE AND SALE AGREEMENT</w:t>
      </w:r>
    </w:p>
    <w:p w:rsidR="00BC192B" w:rsidRDefault="00BC192B" w:rsidP="00BC192B">
      <w:pPr>
        <w:jc w:val="center"/>
        <w:rPr>
          <w:b/>
          <w:sz w:val="22"/>
          <w:szCs w:val="22"/>
        </w:rPr>
      </w:pPr>
      <w:r>
        <w:rPr>
          <w:b/>
          <w:sz w:val="22"/>
          <w:szCs w:val="22"/>
        </w:rPr>
        <w:t xml:space="preserve">CONFIRMATION </w:t>
      </w:r>
      <w:r w:rsidR="00190197">
        <w:rPr>
          <w:b/>
          <w:sz w:val="22"/>
          <w:szCs w:val="22"/>
        </w:rPr>
        <w:t>LETTER</w:t>
      </w:r>
    </w:p>
    <w:p w:rsidR="00BC192B" w:rsidRDefault="00BC192B" w:rsidP="00BC192B">
      <w:pPr>
        <w:jc w:val="center"/>
        <w:rPr>
          <w:sz w:val="22"/>
          <w:szCs w:val="22"/>
        </w:rPr>
      </w:pPr>
    </w:p>
    <w:p w:rsidR="00BC192B" w:rsidRDefault="00BC192B" w:rsidP="00BC192B">
      <w:pPr>
        <w:rPr>
          <w:sz w:val="22"/>
          <w:szCs w:val="22"/>
        </w:rPr>
      </w:pPr>
    </w:p>
    <w:p w:rsidR="00BC192B" w:rsidRPr="00B10778" w:rsidRDefault="00BC192B" w:rsidP="00B81C59">
      <w:pPr>
        <w:rPr>
          <w:sz w:val="22"/>
          <w:szCs w:val="22"/>
        </w:rPr>
      </w:pPr>
      <w:r w:rsidRPr="00B10778">
        <w:rPr>
          <w:sz w:val="22"/>
          <w:szCs w:val="22"/>
        </w:rPr>
        <w:t>From:</w:t>
      </w:r>
      <w:r w:rsidRPr="00B10778">
        <w:rPr>
          <w:sz w:val="22"/>
          <w:szCs w:val="22"/>
        </w:rPr>
        <w:tab/>
      </w:r>
      <w:r w:rsidR="00613AEF">
        <w:rPr>
          <w:sz w:val="22"/>
          <w:szCs w:val="22"/>
        </w:rPr>
        <w:t>[</w:t>
      </w:r>
      <w:r w:rsidR="00613AEF">
        <w:rPr>
          <w:i/>
          <w:sz w:val="22"/>
          <w:szCs w:val="22"/>
        </w:rPr>
        <w:t>Seller Name</w:t>
      </w:r>
      <w:r w:rsidR="00613AEF" w:rsidRPr="00613AEF">
        <w:rPr>
          <w:sz w:val="22"/>
          <w:szCs w:val="22"/>
        </w:rPr>
        <w:t>]</w:t>
      </w:r>
    </w:p>
    <w:p w:rsidR="00BC192B" w:rsidRPr="00B10778" w:rsidRDefault="00BC192B" w:rsidP="00BC192B">
      <w:pPr>
        <w:rPr>
          <w:sz w:val="22"/>
          <w:szCs w:val="22"/>
        </w:rPr>
      </w:pPr>
      <w:r w:rsidRPr="00B10778">
        <w:rPr>
          <w:sz w:val="22"/>
          <w:szCs w:val="22"/>
        </w:rPr>
        <w:tab/>
      </w:r>
      <w:r w:rsidR="00251073">
        <w:rPr>
          <w:sz w:val="22"/>
          <w:szCs w:val="22"/>
        </w:rPr>
        <w:t>[</w:t>
      </w:r>
      <w:r w:rsidR="00251073">
        <w:rPr>
          <w:i/>
          <w:sz w:val="22"/>
          <w:szCs w:val="22"/>
        </w:rPr>
        <w:t>Seller Address</w:t>
      </w:r>
      <w:r w:rsidR="00251073" w:rsidRPr="00613AEF">
        <w:rPr>
          <w:sz w:val="22"/>
          <w:szCs w:val="22"/>
        </w:rPr>
        <w:t>]</w:t>
      </w:r>
    </w:p>
    <w:p w:rsidR="00FB1591" w:rsidRPr="00B10778" w:rsidRDefault="00B81C59" w:rsidP="00BC192B">
      <w:pPr>
        <w:rPr>
          <w:sz w:val="22"/>
          <w:szCs w:val="22"/>
        </w:rPr>
      </w:pPr>
      <w:r>
        <w:rPr>
          <w:sz w:val="22"/>
          <w:szCs w:val="22"/>
        </w:rPr>
        <w:tab/>
        <w:t>Attn:</w:t>
      </w:r>
      <w:r>
        <w:rPr>
          <w:sz w:val="22"/>
          <w:szCs w:val="22"/>
        </w:rPr>
        <w:tab/>
      </w:r>
    </w:p>
    <w:p w:rsidR="00BC192B" w:rsidRPr="00B10778" w:rsidRDefault="00BC192B" w:rsidP="00BC192B">
      <w:pPr>
        <w:rPr>
          <w:sz w:val="22"/>
          <w:szCs w:val="22"/>
        </w:rPr>
      </w:pPr>
    </w:p>
    <w:p w:rsidR="00175E68" w:rsidRPr="00B10778" w:rsidRDefault="00BC192B" w:rsidP="00A031AF">
      <w:pPr>
        <w:tabs>
          <w:tab w:val="left" w:pos="720"/>
          <w:tab w:val="left" w:pos="1440"/>
          <w:tab w:val="center" w:pos="4320"/>
        </w:tabs>
        <w:rPr>
          <w:sz w:val="22"/>
          <w:szCs w:val="22"/>
        </w:rPr>
      </w:pPr>
      <w:r w:rsidRPr="00B10778">
        <w:rPr>
          <w:sz w:val="22"/>
          <w:szCs w:val="22"/>
        </w:rPr>
        <w:t>To:</w:t>
      </w:r>
      <w:r w:rsidRPr="00B10778">
        <w:rPr>
          <w:sz w:val="22"/>
          <w:szCs w:val="22"/>
        </w:rPr>
        <w:tab/>
      </w:r>
      <w:r w:rsidR="00175E68" w:rsidRPr="00B10778">
        <w:rPr>
          <w:sz w:val="22"/>
          <w:szCs w:val="22"/>
        </w:rPr>
        <w:t xml:space="preserve">Marin </w:t>
      </w:r>
      <w:r w:rsidR="001865E0" w:rsidRPr="00B10778">
        <w:rPr>
          <w:sz w:val="22"/>
          <w:szCs w:val="22"/>
        </w:rPr>
        <w:t xml:space="preserve">Clean </w:t>
      </w:r>
      <w:r w:rsidR="00175E68" w:rsidRPr="00B10778">
        <w:rPr>
          <w:sz w:val="22"/>
          <w:szCs w:val="22"/>
        </w:rPr>
        <w:t xml:space="preserve">Energy </w:t>
      </w:r>
    </w:p>
    <w:p w:rsidR="00175E68" w:rsidRPr="00B10778" w:rsidRDefault="00175E68" w:rsidP="00A031AF">
      <w:pPr>
        <w:tabs>
          <w:tab w:val="left" w:pos="720"/>
          <w:tab w:val="left" w:pos="1440"/>
          <w:tab w:val="center" w:pos="4320"/>
        </w:tabs>
        <w:rPr>
          <w:sz w:val="22"/>
          <w:szCs w:val="22"/>
        </w:rPr>
      </w:pPr>
      <w:r w:rsidRPr="00B10778">
        <w:rPr>
          <w:sz w:val="22"/>
          <w:szCs w:val="22"/>
        </w:rPr>
        <w:tab/>
      </w:r>
      <w:r w:rsidR="0000092F" w:rsidRPr="00B10778">
        <w:rPr>
          <w:sz w:val="22"/>
          <w:szCs w:val="22"/>
        </w:rPr>
        <w:t>1125 Tamalpais Avenue</w:t>
      </w:r>
    </w:p>
    <w:p w:rsidR="002E0BCE" w:rsidRPr="00B10778" w:rsidRDefault="00175E68" w:rsidP="00FC096D">
      <w:pPr>
        <w:tabs>
          <w:tab w:val="left" w:pos="720"/>
          <w:tab w:val="left" w:pos="1440"/>
          <w:tab w:val="center" w:pos="4320"/>
        </w:tabs>
        <w:rPr>
          <w:sz w:val="22"/>
          <w:szCs w:val="22"/>
        </w:rPr>
      </w:pPr>
      <w:r w:rsidRPr="00B10778">
        <w:rPr>
          <w:sz w:val="22"/>
          <w:szCs w:val="22"/>
        </w:rPr>
        <w:tab/>
        <w:t>San Rafael, CA 94901</w:t>
      </w:r>
    </w:p>
    <w:p w:rsidR="00FB1591" w:rsidRPr="00B10778" w:rsidRDefault="00FB1591" w:rsidP="00FC096D">
      <w:pPr>
        <w:tabs>
          <w:tab w:val="left" w:pos="720"/>
          <w:tab w:val="left" w:pos="1440"/>
          <w:tab w:val="center" w:pos="4320"/>
        </w:tabs>
        <w:rPr>
          <w:sz w:val="22"/>
          <w:szCs w:val="22"/>
        </w:rPr>
      </w:pPr>
      <w:r w:rsidRPr="00B10778">
        <w:rPr>
          <w:sz w:val="22"/>
          <w:szCs w:val="22"/>
        </w:rPr>
        <w:tab/>
        <w:t>Attn:</w:t>
      </w:r>
      <w:r w:rsidRPr="00B10778">
        <w:rPr>
          <w:sz w:val="22"/>
          <w:szCs w:val="22"/>
        </w:rPr>
        <w:tab/>
        <w:t>Greg Brehm</w:t>
      </w:r>
      <w:r w:rsidRPr="00B10778">
        <w:rPr>
          <w:sz w:val="22"/>
          <w:szCs w:val="22"/>
        </w:rPr>
        <w:tab/>
      </w:r>
    </w:p>
    <w:p w:rsidR="00BC192B" w:rsidRPr="00B10778" w:rsidRDefault="00BC192B" w:rsidP="00BC192B">
      <w:pPr>
        <w:rPr>
          <w:sz w:val="22"/>
          <w:szCs w:val="22"/>
        </w:rPr>
      </w:pPr>
    </w:p>
    <w:p w:rsidR="00BC192B" w:rsidRPr="00B10778" w:rsidRDefault="0045401F" w:rsidP="00BC192B">
      <w:pPr>
        <w:jc w:val="both"/>
        <w:rPr>
          <w:i/>
          <w:sz w:val="22"/>
          <w:szCs w:val="22"/>
        </w:rPr>
      </w:pPr>
      <w:r w:rsidRPr="0045401F">
        <w:rPr>
          <w:sz w:val="22"/>
          <w:szCs w:val="22"/>
        </w:rPr>
        <w:t>This</w:t>
      </w:r>
      <w:r w:rsidR="00190197">
        <w:rPr>
          <w:sz w:val="22"/>
          <w:szCs w:val="22"/>
        </w:rPr>
        <w:t xml:space="preserve"> confirmation letter </w:t>
      </w:r>
      <w:r w:rsidRPr="0045401F">
        <w:rPr>
          <w:sz w:val="22"/>
          <w:szCs w:val="22"/>
        </w:rPr>
        <w:t>(“</w:t>
      </w:r>
      <w:r w:rsidRPr="0045401F">
        <w:rPr>
          <w:b/>
          <w:sz w:val="22"/>
          <w:szCs w:val="22"/>
        </w:rPr>
        <w:t>Confirmation</w:t>
      </w:r>
      <w:r w:rsidRPr="0045401F">
        <w:rPr>
          <w:sz w:val="22"/>
          <w:szCs w:val="22"/>
        </w:rPr>
        <w:t xml:space="preserve">”) confirms the </w:t>
      </w:r>
      <w:r w:rsidR="00190197">
        <w:rPr>
          <w:sz w:val="22"/>
          <w:szCs w:val="22"/>
        </w:rPr>
        <w:t xml:space="preserve">Transaction </w:t>
      </w:r>
      <w:r w:rsidRPr="0045401F">
        <w:rPr>
          <w:sz w:val="22"/>
          <w:szCs w:val="22"/>
        </w:rPr>
        <w:t xml:space="preserve">reached on the Trade Date between </w:t>
      </w:r>
      <w:r w:rsidR="00EC7028" w:rsidRPr="00B10778">
        <w:rPr>
          <w:sz w:val="22"/>
          <w:szCs w:val="22"/>
        </w:rPr>
        <w:t>Marin Clean Energy</w:t>
      </w:r>
      <w:r w:rsidR="00EC7028">
        <w:rPr>
          <w:sz w:val="22"/>
          <w:szCs w:val="22"/>
        </w:rPr>
        <w:t>, a California joint powers authority</w:t>
      </w:r>
      <w:r w:rsidR="00EC7028" w:rsidRPr="00B10778">
        <w:rPr>
          <w:sz w:val="22"/>
          <w:szCs w:val="22"/>
        </w:rPr>
        <w:t xml:space="preserve"> (“</w:t>
      </w:r>
      <w:r w:rsidR="00EC7028" w:rsidRPr="00B10778">
        <w:rPr>
          <w:b/>
          <w:sz w:val="22"/>
          <w:szCs w:val="22"/>
        </w:rPr>
        <w:t>Buyer</w:t>
      </w:r>
      <w:r w:rsidR="00EC7028" w:rsidRPr="00B10778">
        <w:rPr>
          <w:sz w:val="22"/>
          <w:szCs w:val="22"/>
        </w:rPr>
        <w:t xml:space="preserve">”) and </w:t>
      </w:r>
      <w:r w:rsidR="00EC7028">
        <w:rPr>
          <w:sz w:val="22"/>
          <w:szCs w:val="22"/>
        </w:rPr>
        <w:t>[</w:t>
      </w:r>
      <w:r w:rsidR="00EC7028">
        <w:rPr>
          <w:i/>
          <w:sz w:val="22"/>
          <w:szCs w:val="22"/>
        </w:rPr>
        <w:t>Seller’s Name</w:t>
      </w:r>
      <w:r w:rsidR="00EC7028" w:rsidRPr="00F36066">
        <w:rPr>
          <w:sz w:val="22"/>
          <w:szCs w:val="22"/>
        </w:rPr>
        <w:t>]</w:t>
      </w:r>
      <w:r w:rsidR="00EC7028" w:rsidRPr="00B10778">
        <w:rPr>
          <w:sz w:val="22"/>
          <w:szCs w:val="22"/>
        </w:rPr>
        <w:t xml:space="preserve"> (</w:t>
      </w:r>
      <w:r w:rsidR="00EC7028">
        <w:rPr>
          <w:sz w:val="22"/>
          <w:szCs w:val="22"/>
        </w:rPr>
        <w:t>“</w:t>
      </w:r>
      <w:r w:rsidR="00EC7028" w:rsidRPr="00B10778">
        <w:rPr>
          <w:b/>
          <w:sz w:val="22"/>
          <w:szCs w:val="22"/>
        </w:rPr>
        <w:t>Seller</w:t>
      </w:r>
      <w:r w:rsidR="00EC7028">
        <w:rPr>
          <w:sz w:val="22"/>
          <w:szCs w:val="22"/>
        </w:rPr>
        <w:t>”</w:t>
      </w:r>
      <w:r w:rsidR="00EC7028" w:rsidRPr="00B10778">
        <w:rPr>
          <w:sz w:val="22"/>
          <w:szCs w:val="22"/>
        </w:rPr>
        <w:t xml:space="preserve">) </w:t>
      </w:r>
      <w:r w:rsidRPr="0045401F">
        <w:rPr>
          <w:sz w:val="22"/>
          <w:szCs w:val="22"/>
        </w:rPr>
        <w:t xml:space="preserve">regarding the sale and purchase of the Product </w:t>
      </w:r>
      <w:r w:rsidR="00190197">
        <w:rPr>
          <w:sz w:val="22"/>
          <w:szCs w:val="22"/>
        </w:rPr>
        <w:t>under the terms and conditions of this Confirmation</w:t>
      </w:r>
      <w:r w:rsidR="007274DB">
        <w:rPr>
          <w:sz w:val="22"/>
          <w:szCs w:val="22"/>
        </w:rPr>
        <w:t xml:space="preserve"> Letter</w:t>
      </w:r>
      <w:r w:rsidR="00190197">
        <w:rPr>
          <w:sz w:val="22"/>
          <w:szCs w:val="22"/>
        </w:rPr>
        <w:t>.  This Confirmation Letter is provided pursuant to and in accordance with the Master Power Purchase and Sale Agreement dated [</w:t>
      </w:r>
      <w:r w:rsidR="00190197">
        <w:rPr>
          <w:i/>
          <w:sz w:val="22"/>
          <w:szCs w:val="22"/>
        </w:rPr>
        <w:t>Effective Date</w:t>
      </w:r>
      <w:r w:rsidR="00190197" w:rsidRPr="00191ADC">
        <w:rPr>
          <w:sz w:val="22"/>
          <w:szCs w:val="22"/>
        </w:rPr>
        <w:t>]</w:t>
      </w:r>
      <w:r w:rsidR="00190197">
        <w:rPr>
          <w:sz w:val="22"/>
          <w:szCs w:val="22"/>
        </w:rPr>
        <w:t xml:space="preserve">, </w:t>
      </w:r>
      <w:r w:rsidRPr="0045401F">
        <w:rPr>
          <w:sz w:val="22"/>
          <w:szCs w:val="22"/>
        </w:rPr>
        <w:t>together with any and all exhibits, schedules or supplements thereto or incorporated therein by reference, each in force and effect from time to time between the Parties (collectively, the “</w:t>
      </w:r>
      <w:r w:rsidRPr="001F75BF">
        <w:rPr>
          <w:sz w:val="22"/>
          <w:szCs w:val="22"/>
        </w:rPr>
        <w:t>Master Agreement</w:t>
      </w:r>
      <w:r w:rsidRPr="0045401F">
        <w:rPr>
          <w:sz w:val="22"/>
          <w:szCs w:val="22"/>
        </w:rPr>
        <w:t>”)</w:t>
      </w:r>
      <w:r w:rsidR="00190197">
        <w:rPr>
          <w:sz w:val="22"/>
          <w:szCs w:val="22"/>
        </w:rPr>
        <w:t xml:space="preserve"> and constitutes part of and is subject to the terms and provisions of such Master Agreement.  </w:t>
      </w:r>
      <w:r w:rsidR="001F75BF" w:rsidRPr="001F75BF">
        <w:rPr>
          <w:sz w:val="22"/>
          <w:szCs w:val="22"/>
        </w:rPr>
        <w:t xml:space="preserve">The </w:t>
      </w:r>
      <w:r w:rsidR="001F75BF">
        <w:rPr>
          <w:sz w:val="22"/>
          <w:szCs w:val="22"/>
        </w:rPr>
        <w:t xml:space="preserve">Master Agreement </w:t>
      </w:r>
      <w:r w:rsidR="001F75BF" w:rsidRPr="001F75BF">
        <w:rPr>
          <w:sz w:val="22"/>
          <w:szCs w:val="22"/>
        </w:rPr>
        <w:t>and this Confirmation shall be collectively referred to herein as the “</w:t>
      </w:r>
      <w:r w:rsidR="001F75BF" w:rsidRPr="001F75BF">
        <w:rPr>
          <w:b/>
          <w:sz w:val="22"/>
          <w:szCs w:val="22"/>
        </w:rPr>
        <w:t>Agreement</w:t>
      </w:r>
      <w:r w:rsidR="001F75BF">
        <w:rPr>
          <w:sz w:val="22"/>
          <w:szCs w:val="22"/>
        </w:rPr>
        <w:t>.”</w:t>
      </w:r>
      <w:r w:rsidR="001F75BF" w:rsidRPr="001F75BF">
        <w:rPr>
          <w:sz w:val="22"/>
          <w:szCs w:val="22"/>
        </w:rPr>
        <w:t xml:space="preserve">  </w:t>
      </w:r>
      <w:r w:rsidR="00C70B1F" w:rsidRPr="00B10778">
        <w:rPr>
          <w:sz w:val="22"/>
          <w:szCs w:val="22"/>
        </w:rPr>
        <w:t>Capitalized terms used but not defined herein shall have the meaning given to them in the Master Agreement</w:t>
      </w:r>
      <w:r w:rsidR="00C70B1F">
        <w:rPr>
          <w:sz w:val="22"/>
          <w:szCs w:val="22"/>
        </w:rPr>
        <w:t xml:space="preserve">.  </w:t>
      </w:r>
      <w:r w:rsidR="00EC7028">
        <w:rPr>
          <w:sz w:val="22"/>
          <w:szCs w:val="22"/>
        </w:rPr>
        <w:t>This Agreement</w:t>
      </w:r>
      <w:r w:rsidR="00BC192B" w:rsidRPr="00B10778">
        <w:rPr>
          <w:sz w:val="22"/>
          <w:szCs w:val="22"/>
        </w:rPr>
        <w:t xml:space="preserve"> shall constitute the Transaction between the Parties related to the subject matter hereof and supersedes and replaces any prior oral or written confirmation, including broker confirmations, regarding this Transaction.</w:t>
      </w:r>
      <w:r w:rsidR="00EC7028">
        <w:rPr>
          <w:sz w:val="22"/>
          <w:szCs w:val="22"/>
        </w:rPr>
        <w:t xml:space="preserve">  </w:t>
      </w:r>
    </w:p>
    <w:p w:rsidR="00BC192B" w:rsidRPr="00B10778" w:rsidRDefault="00BC192B" w:rsidP="00BC192B">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8"/>
        <w:gridCol w:w="5958"/>
      </w:tblGrid>
      <w:tr w:rsidR="00BC192B" w:rsidRPr="00B10778" w:rsidTr="0065480B">
        <w:tc>
          <w:tcPr>
            <w:tcW w:w="2898" w:type="dxa"/>
          </w:tcPr>
          <w:p w:rsidR="00BC192B" w:rsidRPr="00B10778" w:rsidRDefault="00BC192B" w:rsidP="0065480B">
            <w:pPr>
              <w:tabs>
                <w:tab w:val="center" w:pos="4320"/>
                <w:tab w:val="right" w:pos="8640"/>
              </w:tabs>
              <w:rPr>
                <w:b/>
                <w:sz w:val="22"/>
                <w:szCs w:val="22"/>
              </w:rPr>
            </w:pPr>
            <w:r w:rsidRPr="00B10778">
              <w:rPr>
                <w:b/>
                <w:sz w:val="22"/>
                <w:szCs w:val="22"/>
              </w:rPr>
              <w:t>Trade Date:</w:t>
            </w:r>
          </w:p>
        </w:tc>
        <w:tc>
          <w:tcPr>
            <w:tcW w:w="5958" w:type="dxa"/>
          </w:tcPr>
          <w:p w:rsidR="00BC192B" w:rsidRDefault="00191ADC" w:rsidP="00191ADC">
            <w:pPr>
              <w:rPr>
                <w:sz w:val="22"/>
                <w:szCs w:val="22"/>
              </w:rPr>
            </w:pPr>
            <w:r>
              <w:rPr>
                <w:sz w:val="22"/>
                <w:szCs w:val="22"/>
              </w:rPr>
              <w:t>[</w:t>
            </w:r>
            <w:r>
              <w:rPr>
                <w:i/>
                <w:sz w:val="22"/>
                <w:szCs w:val="22"/>
              </w:rPr>
              <w:t>Trade Date</w:t>
            </w:r>
            <w:r w:rsidRPr="00191ADC">
              <w:rPr>
                <w:sz w:val="22"/>
                <w:szCs w:val="22"/>
              </w:rPr>
              <w:t>]</w:t>
            </w:r>
          </w:p>
          <w:p w:rsidR="008E510E" w:rsidRPr="00B10778" w:rsidRDefault="008E510E" w:rsidP="00191ADC">
            <w:pPr>
              <w:rPr>
                <w:sz w:val="22"/>
                <w:szCs w:val="22"/>
              </w:rPr>
            </w:pPr>
          </w:p>
        </w:tc>
      </w:tr>
      <w:tr w:rsidR="00952041" w:rsidRPr="00B10778" w:rsidTr="0065480B">
        <w:tc>
          <w:tcPr>
            <w:tcW w:w="2898" w:type="dxa"/>
          </w:tcPr>
          <w:p w:rsidR="00952041" w:rsidRPr="00B10778" w:rsidRDefault="00952041" w:rsidP="0065480B">
            <w:pPr>
              <w:rPr>
                <w:b/>
                <w:sz w:val="22"/>
                <w:szCs w:val="22"/>
              </w:rPr>
            </w:pPr>
            <w:r w:rsidRPr="00B10778">
              <w:rPr>
                <w:b/>
                <w:sz w:val="22"/>
                <w:szCs w:val="22"/>
              </w:rPr>
              <w:t>Effective Date:</w:t>
            </w:r>
          </w:p>
        </w:tc>
        <w:tc>
          <w:tcPr>
            <w:tcW w:w="5958" w:type="dxa"/>
          </w:tcPr>
          <w:p w:rsidR="00952041" w:rsidRDefault="00513383" w:rsidP="0065480B">
            <w:pPr>
              <w:rPr>
                <w:sz w:val="22"/>
                <w:szCs w:val="22"/>
              </w:rPr>
            </w:pPr>
            <w:r w:rsidRPr="00B10778">
              <w:rPr>
                <w:sz w:val="22"/>
                <w:szCs w:val="22"/>
              </w:rPr>
              <w:t>The Effective Date is the date upon which this Confirmation Letter has been executed by both Parties.</w:t>
            </w:r>
          </w:p>
          <w:p w:rsidR="008E510E" w:rsidRPr="00B10778" w:rsidRDefault="008E510E" w:rsidP="0065480B">
            <w:pPr>
              <w:rPr>
                <w:sz w:val="22"/>
                <w:szCs w:val="22"/>
              </w:rPr>
            </w:pPr>
          </w:p>
        </w:tc>
      </w:tr>
      <w:tr w:rsidR="00BC192B" w:rsidRPr="00B10778" w:rsidTr="0065480B">
        <w:tc>
          <w:tcPr>
            <w:tcW w:w="2898" w:type="dxa"/>
          </w:tcPr>
          <w:p w:rsidR="00BC192B" w:rsidRPr="00B10778" w:rsidRDefault="00BC192B" w:rsidP="0065480B">
            <w:pPr>
              <w:rPr>
                <w:b/>
                <w:sz w:val="22"/>
                <w:szCs w:val="22"/>
              </w:rPr>
            </w:pPr>
            <w:r w:rsidRPr="00B10778">
              <w:rPr>
                <w:b/>
                <w:sz w:val="22"/>
                <w:szCs w:val="22"/>
              </w:rPr>
              <w:t>Trade ID(s):</w:t>
            </w:r>
          </w:p>
        </w:tc>
        <w:tc>
          <w:tcPr>
            <w:tcW w:w="5958" w:type="dxa"/>
          </w:tcPr>
          <w:p w:rsidR="00BC192B" w:rsidRPr="00B10778" w:rsidRDefault="00BC192B" w:rsidP="0065480B">
            <w:pPr>
              <w:rPr>
                <w:sz w:val="22"/>
                <w:szCs w:val="22"/>
              </w:rPr>
            </w:pPr>
          </w:p>
        </w:tc>
      </w:tr>
      <w:tr w:rsidR="00BC192B" w:rsidRPr="00B10778" w:rsidTr="0065480B">
        <w:tc>
          <w:tcPr>
            <w:tcW w:w="2898" w:type="dxa"/>
          </w:tcPr>
          <w:p w:rsidR="00BC192B" w:rsidRPr="00B10778" w:rsidRDefault="00BC192B" w:rsidP="0065480B">
            <w:pPr>
              <w:rPr>
                <w:b/>
                <w:sz w:val="22"/>
                <w:szCs w:val="22"/>
              </w:rPr>
            </w:pPr>
            <w:r w:rsidRPr="00B10778">
              <w:rPr>
                <w:b/>
                <w:sz w:val="22"/>
                <w:szCs w:val="22"/>
              </w:rPr>
              <w:t>Seller:</w:t>
            </w:r>
          </w:p>
        </w:tc>
        <w:tc>
          <w:tcPr>
            <w:tcW w:w="5958" w:type="dxa"/>
          </w:tcPr>
          <w:p w:rsidR="00BC192B" w:rsidRDefault="00191ADC" w:rsidP="00191ADC">
            <w:pPr>
              <w:rPr>
                <w:sz w:val="22"/>
                <w:szCs w:val="22"/>
              </w:rPr>
            </w:pPr>
            <w:r>
              <w:rPr>
                <w:sz w:val="22"/>
                <w:szCs w:val="22"/>
              </w:rPr>
              <w:t>[</w:t>
            </w:r>
            <w:r w:rsidRPr="00191ADC">
              <w:rPr>
                <w:i/>
                <w:sz w:val="22"/>
                <w:szCs w:val="22"/>
              </w:rPr>
              <w:t>Seller Name</w:t>
            </w:r>
            <w:r>
              <w:rPr>
                <w:sz w:val="22"/>
                <w:szCs w:val="22"/>
              </w:rPr>
              <w:t>]</w:t>
            </w:r>
          </w:p>
          <w:p w:rsidR="008E510E" w:rsidRPr="00B10778" w:rsidRDefault="008E510E" w:rsidP="00191ADC">
            <w:pPr>
              <w:rPr>
                <w:sz w:val="22"/>
                <w:szCs w:val="22"/>
              </w:rPr>
            </w:pPr>
          </w:p>
        </w:tc>
      </w:tr>
      <w:tr w:rsidR="00BC192B" w:rsidRPr="00B10778" w:rsidTr="0065480B">
        <w:tc>
          <w:tcPr>
            <w:tcW w:w="2898" w:type="dxa"/>
          </w:tcPr>
          <w:p w:rsidR="00BC192B" w:rsidRPr="00B10778" w:rsidRDefault="00BC192B" w:rsidP="0065480B">
            <w:pPr>
              <w:rPr>
                <w:b/>
                <w:sz w:val="22"/>
                <w:szCs w:val="22"/>
              </w:rPr>
            </w:pPr>
            <w:r w:rsidRPr="00B10778">
              <w:rPr>
                <w:b/>
                <w:sz w:val="22"/>
                <w:szCs w:val="22"/>
              </w:rPr>
              <w:t>Buyer:</w:t>
            </w:r>
          </w:p>
        </w:tc>
        <w:tc>
          <w:tcPr>
            <w:tcW w:w="5958" w:type="dxa"/>
          </w:tcPr>
          <w:p w:rsidR="00BC192B" w:rsidRDefault="00175E68" w:rsidP="0000092F">
            <w:pPr>
              <w:rPr>
                <w:sz w:val="22"/>
                <w:szCs w:val="22"/>
              </w:rPr>
            </w:pPr>
            <w:r w:rsidRPr="00B10778">
              <w:rPr>
                <w:sz w:val="22"/>
                <w:szCs w:val="22"/>
              </w:rPr>
              <w:t xml:space="preserve">Marin </w:t>
            </w:r>
            <w:r w:rsidR="0000092F" w:rsidRPr="00B10778">
              <w:rPr>
                <w:sz w:val="22"/>
                <w:szCs w:val="22"/>
              </w:rPr>
              <w:t>Clean Energy</w:t>
            </w:r>
          </w:p>
          <w:p w:rsidR="008E510E" w:rsidRPr="00B10778" w:rsidRDefault="008E510E" w:rsidP="0000092F">
            <w:pPr>
              <w:rPr>
                <w:sz w:val="22"/>
                <w:szCs w:val="22"/>
              </w:rPr>
            </w:pPr>
          </w:p>
        </w:tc>
      </w:tr>
      <w:tr w:rsidR="00BC192B" w:rsidRPr="00B10778" w:rsidTr="0065480B">
        <w:tc>
          <w:tcPr>
            <w:tcW w:w="2898" w:type="dxa"/>
            <w:vAlign w:val="center"/>
          </w:tcPr>
          <w:p w:rsidR="00BC192B" w:rsidRPr="00B10778" w:rsidRDefault="00BC192B" w:rsidP="0065480B">
            <w:pPr>
              <w:rPr>
                <w:b/>
                <w:sz w:val="22"/>
                <w:szCs w:val="22"/>
              </w:rPr>
            </w:pPr>
            <w:r w:rsidRPr="00B10778">
              <w:rPr>
                <w:b/>
                <w:sz w:val="22"/>
                <w:szCs w:val="22"/>
              </w:rPr>
              <w:t>Product:</w:t>
            </w:r>
          </w:p>
        </w:tc>
        <w:tc>
          <w:tcPr>
            <w:tcW w:w="5958" w:type="dxa"/>
          </w:tcPr>
          <w:p w:rsidR="00BC192B" w:rsidRDefault="00BC192B" w:rsidP="002077D3">
            <w:pPr>
              <w:rPr>
                <w:sz w:val="22"/>
                <w:szCs w:val="22"/>
              </w:rPr>
            </w:pPr>
            <w:r w:rsidRPr="00B10778">
              <w:rPr>
                <w:sz w:val="22"/>
                <w:szCs w:val="22"/>
              </w:rPr>
              <w:t xml:space="preserve">Energy and associated </w:t>
            </w:r>
            <w:r w:rsidR="0065480B" w:rsidRPr="00B10778">
              <w:rPr>
                <w:sz w:val="22"/>
                <w:szCs w:val="22"/>
              </w:rPr>
              <w:t>Green Attributes</w:t>
            </w:r>
            <w:r w:rsidR="00433077" w:rsidRPr="00B10778">
              <w:rPr>
                <w:sz w:val="22"/>
                <w:szCs w:val="22"/>
              </w:rPr>
              <w:t xml:space="preserve"> (inclusive of</w:t>
            </w:r>
            <w:r w:rsidR="001E6EAF" w:rsidRPr="00B10778">
              <w:rPr>
                <w:sz w:val="22"/>
                <w:szCs w:val="22"/>
              </w:rPr>
              <w:t xml:space="preserve"> Renewable Energy Credits (“RECs”)</w:t>
            </w:r>
            <w:r w:rsidR="00433077" w:rsidRPr="00B10778">
              <w:rPr>
                <w:sz w:val="22"/>
                <w:szCs w:val="22"/>
              </w:rPr>
              <w:t>)</w:t>
            </w:r>
            <w:r w:rsidRPr="00B10778">
              <w:rPr>
                <w:sz w:val="22"/>
                <w:szCs w:val="22"/>
              </w:rPr>
              <w:t xml:space="preserve"> </w:t>
            </w:r>
            <w:r w:rsidR="00E43D52" w:rsidRPr="00B10778">
              <w:rPr>
                <w:sz w:val="22"/>
                <w:szCs w:val="22"/>
              </w:rPr>
              <w:t xml:space="preserve">produced </w:t>
            </w:r>
            <w:r w:rsidR="00F362FF" w:rsidRPr="00B10778">
              <w:rPr>
                <w:sz w:val="22"/>
                <w:szCs w:val="22"/>
              </w:rPr>
              <w:t xml:space="preserve">on or </w:t>
            </w:r>
            <w:r w:rsidR="00E43D52" w:rsidRPr="00B10778">
              <w:rPr>
                <w:sz w:val="22"/>
                <w:szCs w:val="22"/>
              </w:rPr>
              <w:t xml:space="preserve">after the </w:t>
            </w:r>
            <w:r w:rsidR="00F362FF" w:rsidRPr="00B10778">
              <w:rPr>
                <w:sz w:val="22"/>
                <w:szCs w:val="22"/>
              </w:rPr>
              <w:t xml:space="preserve">Trade </w:t>
            </w:r>
            <w:r w:rsidR="00E43D52" w:rsidRPr="00B10778">
              <w:rPr>
                <w:sz w:val="22"/>
                <w:szCs w:val="22"/>
              </w:rPr>
              <w:t xml:space="preserve">Date and </w:t>
            </w:r>
            <w:r w:rsidRPr="00B10778">
              <w:rPr>
                <w:sz w:val="22"/>
                <w:szCs w:val="22"/>
              </w:rPr>
              <w:t>delivered</w:t>
            </w:r>
            <w:r w:rsidR="00A136EF" w:rsidRPr="00B10778">
              <w:rPr>
                <w:sz w:val="22"/>
                <w:szCs w:val="22"/>
              </w:rPr>
              <w:t>, if needed,</w:t>
            </w:r>
            <w:r w:rsidRPr="00B10778">
              <w:rPr>
                <w:sz w:val="22"/>
                <w:szCs w:val="22"/>
              </w:rPr>
              <w:t xml:space="preserve"> </w:t>
            </w:r>
            <w:r w:rsidR="00561D35" w:rsidRPr="00B10778">
              <w:rPr>
                <w:sz w:val="22"/>
                <w:szCs w:val="22"/>
              </w:rPr>
              <w:t xml:space="preserve">with substitute electricity from another source </w:t>
            </w:r>
            <w:r w:rsidRPr="00B10778">
              <w:rPr>
                <w:sz w:val="22"/>
                <w:szCs w:val="22"/>
              </w:rPr>
              <w:t>to Seller from the Project</w:t>
            </w:r>
            <w:r w:rsidR="00175E68" w:rsidRPr="00B10778">
              <w:rPr>
                <w:sz w:val="22"/>
                <w:szCs w:val="22"/>
              </w:rPr>
              <w:t>(</w:t>
            </w:r>
            <w:r w:rsidRPr="00B10778">
              <w:rPr>
                <w:sz w:val="22"/>
                <w:szCs w:val="22"/>
              </w:rPr>
              <w:t>s</w:t>
            </w:r>
            <w:r w:rsidR="00175E68" w:rsidRPr="00B10778">
              <w:rPr>
                <w:sz w:val="22"/>
                <w:szCs w:val="22"/>
              </w:rPr>
              <w:t>)</w:t>
            </w:r>
            <w:r w:rsidRPr="00B10778">
              <w:rPr>
                <w:sz w:val="22"/>
                <w:szCs w:val="22"/>
              </w:rPr>
              <w:t xml:space="preserve"> to Buyer at the Delivery Point</w:t>
            </w:r>
            <w:r w:rsidR="00D46161" w:rsidRPr="00B10778">
              <w:rPr>
                <w:sz w:val="22"/>
                <w:szCs w:val="22"/>
              </w:rPr>
              <w:t>.</w:t>
            </w:r>
            <w:r w:rsidR="00A136EF" w:rsidRPr="00B10778">
              <w:rPr>
                <w:sz w:val="22"/>
                <w:szCs w:val="22"/>
              </w:rPr>
              <w:t xml:space="preserve"> </w:t>
            </w:r>
            <w:r w:rsidR="00191ADC">
              <w:rPr>
                <w:sz w:val="22"/>
                <w:szCs w:val="22"/>
              </w:rPr>
              <w:t xml:space="preserve"> </w:t>
            </w:r>
            <w:r w:rsidR="00C67D5F" w:rsidRPr="00B10778">
              <w:rPr>
                <w:sz w:val="22"/>
                <w:szCs w:val="22"/>
              </w:rPr>
              <w:t>Seller</w:t>
            </w:r>
            <w:r w:rsidR="009E2AED" w:rsidRPr="00B10778">
              <w:rPr>
                <w:sz w:val="22"/>
                <w:szCs w:val="22"/>
              </w:rPr>
              <w:t xml:space="preserve"> is not</w:t>
            </w:r>
            <w:r w:rsidR="00C67D5F" w:rsidRPr="00B10778">
              <w:rPr>
                <w:sz w:val="22"/>
                <w:szCs w:val="22"/>
              </w:rPr>
              <w:t xml:space="preserve"> required to </w:t>
            </w:r>
            <w:r w:rsidR="009E2AED" w:rsidRPr="00B10778">
              <w:rPr>
                <w:sz w:val="22"/>
                <w:szCs w:val="22"/>
              </w:rPr>
              <w:t xml:space="preserve">deliver </w:t>
            </w:r>
            <w:r w:rsidR="00C67D5F" w:rsidRPr="00B10778">
              <w:rPr>
                <w:sz w:val="22"/>
                <w:szCs w:val="22"/>
              </w:rPr>
              <w:t>to Buyer electrical generation</w:t>
            </w:r>
            <w:r w:rsidR="009E2AED" w:rsidRPr="00B10778">
              <w:rPr>
                <w:sz w:val="22"/>
                <w:szCs w:val="22"/>
              </w:rPr>
              <w:t xml:space="preserve"> directly</w:t>
            </w:r>
            <w:r w:rsidR="00C67D5F" w:rsidRPr="00B10778">
              <w:rPr>
                <w:sz w:val="22"/>
                <w:szCs w:val="22"/>
              </w:rPr>
              <w:t xml:space="preserve"> from the Project</w:t>
            </w:r>
            <w:r w:rsidR="009E2AED" w:rsidRPr="00B10778">
              <w:rPr>
                <w:sz w:val="22"/>
                <w:szCs w:val="22"/>
              </w:rPr>
              <w:t>, but may substitute energy</w:t>
            </w:r>
            <w:r w:rsidR="00513383" w:rsidRPr="00B10778">
              <w:rPr>
                <w:sz w:val="22"/>
                <w:szCs w:val="22"/>
              </w:rPr>
              <w:t>, except that substitute energy may not be from a coal-fired or nuclear electricity generating facility</w:t>
            </w:r>
            <w:r w:rsidR="00C67D5F" w:rsidRPr="00B10778">
              <w:rPr>
                <w:sz w:val="22"/>
                <w:szCs w:val="22"/>
              </w:rPr>
              <w:t>.</w:t>
            </w:r>
            <w:r w:rsidR="00513C3A" w:rsidRPr="00B10778">
              <w:rPr>
                <w:sz w:val="22"/>
                <w:szCs w:val="22"/>
              </w:rPr>
              <w:t xml:space="preserve"> All RECs transferred shall qualify as “Renewable Energy </w:t>
            </w:r>
            <w:r w:rsidR="00627B45" w:rsidRPr="00B10778">
              <w:rPr>
                <w:sz w:val="22"/>
                <w:szCs w:val="22"/>
              </w:rPr>
              <w:t>Credit</w:t>
            </w:r>
            <w:r w:rsidR="00513C3A" w:rsidRPr="00B10778">
              <w:rPr>
                <w:sz w:val="22"/>
                <w:szCs w:val="22"/>
              </w:rPr>
              <w:t xml:space="preserve"> (Bucket 2)”</w:t>
            </w:r>
            <w:r w:rsidR="00513383" w:rsidRPr="00B10778">
              <w:rPr>
                <w:sz w:val="22"/>
                <w:szCs w:val="22"/>
              </w:rPr>
              <w:t>, m</w:t>
            </w:r>
            <w:r w:rsidR="00513C3A" w:rsidRPr="00B10778">
              <w:rPr>
                <w:sz w:val="22"/>
                <w:szCs w:val="22"/>
              </w:rPr>
              <w:t xml:space="preserve">eaning any Renewable Energy Credit associated with the generation of electricity from an Eligible Renewable Energy Resource consisting of the portfolio content set forth in California Public </w:t>
            </w:r>
            <w:r w:rsidR="00513C3A" w:rsidRPr="00B10778">
              <w:rPr>
                <w:sz w:val="22"/>
                <w:szCs w:val="22"/>
              </w:rPr>
              <w:lastRenderedPageBreak/>
              <w:t>Utilities Code Section 399.16(b)(2), as applicable to the Reporting Year(s) transferred hereunder.</w:t>
            </w:r>
            <w:r w:rsidR="00C67D5F" w:rsidRPr="00B10778">
              <w:rPr>
                <w:sz w:val="22"/>
                <w:szCs w:val="22"/>
              </w:rPr>
              <w:t xml:space="preserve">  </w:t>
            </w:r>
            <w:r w:rsidR="00A136EF" w:rsidRPr="00B10778">
              <w:rPr>
                <w:sz w:val="22"/>
                <w:szCs w:val="22"/>
              </w:rPr>
              <w:t xml:space="preserve">  </w:t>
            </w:r>
          </w:p>
          <w:p w:rsidR="008E510E" w:rsidRPr="00B10778" w:rsidRDefault="008E510E" w:rsidP="002077D3">
            <w:pPr>
              <w:rPr>
                <w:sz w:val="22"/>
                <w:szCs w:val="22"/>
              </w:rPr>
            </w:pPr>
          </w:p>
        </w:tc>
      </w:tr>
      <w:tr w:rsidR="00BC192B" w:rsidRPr="00B10778" w:rsidTr="0065480B">
        <w:tc>
          <w:tcPr>
            <w:tcW w:w="2898" w:type="dxa"/>
            <w:vAlign w:val="center"/>
          </w:tcPr>
          <w:p w:rsidR="00BC192B" w:rsidRPr="00B10778" w:rsidRDefault="00BC192B" w:rsidP="0065480B">
            <w:pPr>
              <w:rPr>
                <w:b/>
                <w:sz w:val="22"/>
                <w:szCs w:val="22"/>
              </w:rPr>
            </w:pPr>
            <w:r w:rsidRPr="00B10778">
              <w:rPr>
                <w:b/>
                <w:sz w:val="22"/>
                <w:szCs w:val="22"/>
              </w:rPr>
              <w:lastRenderedPageBreak/>
              <w:t>Delivery Point:</w:t>
            </w:r>
          </w:p>
        </w:tc>
        <w:tc>
          <w:tcPr>
            <w:tcW w:w="5958" w:type="dxa"/>
          </w:tcPr>
          <w:p w:rsidR="00BC192B" w:rsidRDefault="00B81C59" w:rsidP="00EC7A6F">
            <w:pPr>
              <w:rPr>
                <w:sz w:val="22"/>
                <w:szCs w:val="22"/>
              </w:rPr>
            </w:pPr>
            <w:r>
              <w:rPr>
                <w:sz w:val="22"/>
                <w:szCs w:val="22"/>
              </w:rPr>
              <w:t xml:space="preserve">TH_NP15_GEN_APND </w:t>
            </w:r>
            <w:r w:rsidR="00EC7A6F">
              <w:rPr>
                <w:sz w:val="22"/>
                <w:szCs w:val="22"/>
              </w:rPr>
              <w:t xml:space="preserve">within the CAISO </w:t>
            </w:r>
            <w:r w:rsidR="00405CC5">
              <w:rPr>
                <w:sz w:val="22"/>
                <w:szCs w:val="22"/>
              </w:rPr>
              <w:t>B</w:t>
            </w:r>
            <w:r w:rsidR="00EC7A6F">
              <w:rPr>
                <w:sz w:val="22"/>
                <w:szCs w:val="22"/>
              </w:rPr>
              <w:t xml:space="preserve">alancing </w:t>
            </w:r>
            <w:r w:rsidR="00405CC5">
              <w:rPr>
                <w:sz w:val="22"/>
                <w:szCs w:val="22"/>
              </w:rPr>
              <w:t>A</w:t>
            </w:r>
            <w:r>
              <w:rPr>
                <w:sz w:val="22"/>
                <w:szCs w:val="22"/>
              </w:rPr>
              <w:t>uthority area</w:t>
            </w:r>
            <w:bookmarkStart w:id="0" w:name="_GoBack"/>
            <w:bookmarkEnd w:id="0"/>
            <w:r w:rsidR="00EC7A6F">
              <w:rPr>
                <w:sz w:val="22"/>
                <w:szCs w:val="22"/>
              </w:rPr>
              <w:t>.</w:t>
            </w:r>
            <w:r w:rsidR="00BC192B" w:rsidRPr="00B10778">
              <w:rPr>
                <w:sz w:val="22"/>
                <w:szCs w:val="22"/>
              </w:rPr>
              <w:t xml:space="preserve"> </w:t>
            </w:r>
          </w:p>
          <w:p w:rsidR="008E510E" w:rsidRPr="00B10778" w:rsidRDefault="008E510E" w:rsidP="00EC7A6F">
            <w:pPr>
              <w:rPr>
                <w:sz w:val="22"/>
                <w:szCs w:val="22"/>
              </w:rPr>
            </w:pPr>
          </w:p>
        </w:tc>
      </w:tr>
      <w:tr w:rsidR="00175E68" w:rsidRPr="00B10778" w:rsidTr="0065480B">
        <w:tc>
          <w:tcPr>
            <w:tcW w:w="2898" w:type="dxa"/>
            <w:vAlign w:val="center"/>
          </w:tcPr>
          <w:p w:rsidR="00175E68" w:rsidRPr="00B10778" w:rsidRDefault="00175E68" w:rsidP="0065480B">
            <w:pPr>
              <w:rPr>
                <w:b/>
                <w:sz w:val="22"/>
                <w:szCs w:val="22"/>
              </w:rPr>
            </w:pPr>
            <w:r w:rsidRPr="00B10778">
              <w:rPr>
                <w:b/>
                <w:sz w:val="22"/>
                <w:szCs w:val="22"/>
              </w:rPr>
              <w:t>Reporting Year(s):</w:t>
            </w:r>
          </w:p>
        </w:tc>
        <w:tc>
          <w:tcPr>
            <w:tcW w:w="5958" w:type="dxa"/>
          </w:tcPr>
          <w:p w:rsidR="00175E68" w:rsidRDefault="00191ADC" w:rsidP="00191ADC">
            <w:pPr>
              <w:rPr>
                <w:sz w:val="22"/>
                <w:szCs w:val="22"/>
              </w:rPr>
            </w:pPr>
            <w:r>
              <w:rPr>
                <w:sz w:val="22"/>
                <w:szCs w:val="22"/>
              </w:rPr>
              <w:t>[</w:t>
            </w:r>
            <w:r>
              <w:rPr>
                <w:i/>
                <w:sz w:val="22"/>
                <w:szCs w:val="22"/>
              </w:rPr>
              <w:t>Calendar Year</w:t>
            </w:r>
            <w:r w:rsidRPr="00191ADC">
              <w:rPr>
                <w:sz w:val="22"/>
                <w:szCs w:val="22"/>
              </w:rPr>
              <w:t>]</w:t>
            </w:r>
          </w:p>
          <w:p w:rsidR="008E510E" w:rsidRPr="00B10778" w:rsidRDefault="008E510E" w:rsidP="00191ADC">
            <w:pPr>
              <w:rPr>
                <w:sz w:val="22"/>
                <w:szCs w:val="22"/>
              </w:rPr>
            </w:pPr>
          </w:p>
        </w:tc>
      </w:tr>
      <w:tr w:rsidR="00BC192B" w:rsidRPr="00B10778" w:rsidTr="0065480B">
        <w:tc>
          <w:tcPr>
            <w:tcW w:w="2898" w:type="dxa"/>
            <w:vAlign w:val="center"/>
          </w:tcPr>
          <w:p w:rsidR="00BC192B" w:rsidRPr="00B10778" w:rsidRDefault="005D1C49" w:rsidP="0065480B">
            <w:pPr>
              <w:rPr>
                <w:b/>
                <w:sz w:val="22"/>
                <w:szCs w:val="22"/>
              </w:rPr>
            </w:pPr>
            <w:r w:rsidRPr="00B10778">
              <w:rPr>
                <w:b/>
                <w:sz w:val="22"/>
                <w:szCs w:val="22"/>
              </w:rPr>
              <w:t xml:space="preserve">REC </w:t>
            </w:r>
            <w:r w:rsidR="00BC192B" w:rsidRPr="00B10778">
              <w:rPr>
                <w:b/>
                <w:sz w:val="22"/>
                <w:szCs w:val="22"/>
              </w:rPr>
              <w:t>Generation Period(s):</w:t>
            </w:r>
          </w:p>
        </w:tc>
        <w:tc>
          <w:tcPr>
            <w:tcW w:w="5958" w:type="dxa"/>
          </w:tcPr>
          <w:p w:rsidR="00175E68" w:rsidRPr="00B10778" w:rsidRDefault="00960E77" w:rsidP="00175E68">
            <w:pPr>
              <w:rPr>
                <w:sz w:val="22"/>
                <w:szCs w:val="22"/>
              </w:rPr>
            </w:pPr>
            <w:r w:rsidRPr="00B10778">
              <w:rPr>
                <w:sz w:val="22"/>
                <w:szCs w:val="22"/>
              </w:rPr>
              <w:t xml:space="preserve">On or after the Effective Date continuing </w:t>
            </w:r>
            <w:r w:rsidR="005C658F" w:rsidRPr="00B10778">
              <w:rPr>
                <w:sz w:val="22"/>
                <w:szCs w:val="22"/>
              </w:rPr>
              <w:t xml:space="preserve">through and including </w:t>
            </w:r>
            <w:r w:rsidR="00191ADC">
              <w:rPr>
                <w:sz w:val="22"/>
                <w:szCs w:val="22"/>
              </w:rPr>
              <w:t>[</w:t>
            </w:r>
            <w:r w:rsidR="00191ADC">
              <w:rPr>
                <w:i/>
                <w:sz w:val="22"/>
                <w:szCs w:val="22"/>
              </w:rPr>
              <w:t>End Date of REC Generation Period</w:t>
            </w:r>
            <w:r w:rsidR="00191ADC" w:rsidRPr="00191ADC">
              <w:rPr>
                <w:sz w:val="22"/>
                <w:szCs w:val="22"/>
              </w:rPr>
              <w:t>]</w:t>
            </w:r>
          </w:p>
          <w:p w:rsidR="00175E68" w:rsidRPr="00B10778" w:rsidRDefault="00175E68" w:rsidP="00FC096D">
            <w:pPr>
              <w:rPr>
                <w:sz w:val="22"/>
                <w:szCs w:val="22"/>
              </w:rPr>
            </w:pPr>
          </w:p>
        </w:tc>
      </w:tr>
      <w:tr w:rsidR="00BC192B" w:rsidRPr="00B10778" w:rsidTr="0065480B">
        <w:tc>
          <w:tcPr>
            <w:tcW w:w="2898" w:type="dxa"/>
            <w:vAlign w:val="center"/>
          </w:tcPr>
          <w:p w:rsidR="00BC192B" w:rsidRPr="00B10778" w:rsidRDefault="00BC192B" w:rsidP="0065480B">
            <w:pPr>
              <w:rPr>
                <w:b/>
                <w:sz w:val="22"/>
                <w:szCs w:val="22"/>
              </w:rPr>
            </w:pPr>
            <w:r w:rsidRPr="00B10778">
              <w:rPr>
                <w:b/>
                <w:sz w:val="22"/>
                <w:szCs w:val="22"/>
              </w:rPr>
              <w:t>Delivery Term:</w:t>
            </w:r>
          </w:p>
        </w:tc>
        <w:tc>
          <w:tcPr>
            <w:tcW w:w="5958" w:type="dxa"/>
          </w:tcPr>
          <w:p w:rsidR="005C658F" w:rsidRPr="00B10778" w:rsidRDefault="000B58C9" w:rsidP="005D1C49">
            <w:pPr>
              <w:rPr>
                <w:sz w:val="22"/>
                <w:szCs w:val="22"/>
              </w:rPr>
            </w:pPr>
            <w:r w:rsidRPr="00B10778">
              <w:rPr>
                <w:b/>
                <w:sz w:val="22"/>
                <w:szCs w:val="22"/>
              </w:rPr>
              <w:t>Energy Delivery Term</w:t>
            </w:r>
            <w:r w:rsidR="008326E3" w:rsidRPr="00B10778">
              <w:rPr>
                <w:sz w:val="22"/>
                <w:szCs w:val="22"/>
              </w:rPr>
              <w:t xml:space="preserve">:  </w:t>
            </w:r>
          </w:p>
          <w:p w:rsidR="00B819EF" w:rsidRPr="00B10778" w:rsidRDefault="00960E77" w:rsidP="005C658F">
            <w:pPr>
              <w:rPr>
                <w:sz w:val="22"/>
                <w:szCs w:val="22"/>
              </w:rPr>
            </w:pPr>
            <w:r w:rsidRPr="00B10778">
              <w:rPr>
                <w:sz w:val="22"/>
                <w:szCs w:val="22"/>
              </w:rPr>
              <w:t xml:space="preserve">On or after the Effective Date continuing through and including </w:t>
            </w:r>
            <w:r w:rsidR="00191ADC">
              <w:rPr>
                <w:sz w:val="22"/>
                <w:szCs w:val="22"/>
              </w:rPr>
              <w:t>[</w:t>
            </w:r>
            <w:r w:rsidR="00191ADC">
              <w:rPr>
                <w:i/>
                <w:sz w:val="22"/>
                <w:szCs w:val="22"/>
              </w:rPr>
              <w:t>End Date of Energy Delivery Term</w:t>
            </w:r>
            <w:r w:rsidR="00191ADC" w:rsidRPr="00191ADC">
              <w:rPr>
                <w:sz w:val="22"/>
                <w:szCs w:val="22"/>
              </w:rPr>
              <w:t>]</w:t>
            </w:r>
            <w:r w:rsidR="00B819EF" w:rsidRPr="00B10778">
              <w:rPr>
                <w:sz w:val="22"/>
                <w:szCs w:val="22"/>
              </w:rPr>
              <w:t>.</w:t>
            </w:r>
          </w:p>
          <w:p w:rsidR="00B819EF" w:rsidRPr="00B10778" w:rsidRDefault="00B819EF" w:rsidP="005C658F">
            <w:pPr>
              <w:rPr>
                <w:sz w:val="22"/>
                <w:szCs w:val="22"/>
              </w:rPr>
            </w:pPr>
          </w:p>
          <w:p w:rsidR="005C658F" w:rsidRPr="00B10778" w:rsidRDefault="000B58C9" w:rsidP="00FC096D">
            <w:pPr>
              <w:rPr>
                <w:sz w:val="22"/>
                <w:szCs w:val="22"/>
              </w:rPr>
            </w:pPr>
            <w:r w:rsidRPr="00B10778">
              <w:rPr>
                <w:b/>
                <w:sz w:val="22"/>
                <w:szCs w:val="22"/>
              </w:rPr>
              <w:t>REC Delivery Term</w:t>
            </w:r>
            <w:r w:rsidR="008326E3" w:rsidRPr="00B10778">
              <w:rPr>
                <w:sz w:val="22"/>
                <w:szCs w:val="22"/>
              </w:rPr>
              <w:t xml:space="preserve">: </w:t>
            </w:r>
          </w:p>
          <w:p w:rsidR="005C658F" w:rsidRPr="00B10778" w:rsidRDefault="00191ADC" w:rsidP="00191ADC">
            <w:pPr>
              <w:rPr>
                <w:sz w:val="22"/>
                <w:szCs w:val="22"/>
              </w:rPr>
            </w:pPr>
            <w:r>
              <w:rPr>
                <w:sz w:val="22"/>
                <w:szCs w:val="22"/>
              </w:rPr>
              <w:t>[</w:t>
            </w:r>
            <w:r>
              <w:rPr>
                <w:i/>
                <w:sz w:val="22"/>
                <w:szCs w:val="22"/>
              </w:rPr>
              <w:t>End Date of REC Delivery Term</w:t>
            </w:r>
            <w:r w:rsidRPr="00191ADC">
              <w:rPr>
                <w:sz w:val="22"/>
                <w:szCs w:val="22"/>
              </w:rPr>
              <w:t>]</w:t>
            </w:r>
            <w:r w:rsidR="00EC7A6F">
              <w:rPr>
                <w:sz w:val="22"/>
                <w:szCs w:val="22"/>
              </w:rPr>
              <w:t xml:space="preserve"> </w:t>
            </w:r>
          </w:p>
        </w:tc>
      </w:tr>
      <w:tr w:rsidR="00BC192B" w:rsidRPr="00B10778" w:rsidTr="0065480B">
        <w:tc>
          <w:tcPr>
            <w:tcW w:w="2898" w:type="dxa"/>
            <w:vAlign w:val="center"/>
          </w:tcPr>
          <w:p w:rsidR="00BC192B" w:rsidRPr="00B10778" w:rsidRDefault="00BC192B" w:rsidP="0065480B">
            <w:pPr>
              <w:rPr>
                <w:b/>
                <w:sz w:val="22"/>
                <w:szCs w:val="22"/>
              </w:rPr>
            </w:pPr>
            <w:r w:rsidRPr="00B10778">
              <w:rPr>
                <w:b/>
                <w:sz w:val="22"/>
                <w:szCs w:val="22"/>
              </w:rPr>
              <w:t>REC Contract Quantity:</w:t>
            </w:r>
          </w:p>
        </w:tc>
        <w:tc>
          <w:tcPr>
            <w:tcW w:w="5958" w:type="dxa"/>
          </w:tcPr>
          <w:p w:rsidR="00057EA0" w:rsidRPr="00B10778" w:rsidRDefault="00A50D12" w:rsidP="00FC096D">
            <w:pPr>
              <w:rPr>
                <w:sz w:val="22"/>
                <w:szCs w:val="22"/>
              </w:rPr>
            </w:pPr>
            <w:r>
              <w:rPr>
                <w:sz w:val="22"/>
                <w:szCs w:val="22"/>
              </w:rPr>
              <w:t>[</w:t>
            </w:r>
            <w:r>
              <w:rPr>
                <w:i/>
                <w:sz w:val="22"/>
                <w:szCs w:val="22"/>
              </w:rPr>
              <w:t xml:space="preserve">REC Contract Quantity, e.g., </w:t>
            </w:r>
            <w:r w:rsidR="00DC6877">
              <w:rPr>
                <w:i/>
                <w:sz w:val="22"/>
                <w:szCs w:val="22"/>
              </w:rPr>
              <w:t>“</w:t>
            </w:r>
            <w:r w:rsidR="00057EA0" w:rsidRPr="0034554E">
              <w:rPr>
                <w:i/>
                <w:sz w:val="22"/>
                <w:szCs w:val="22"/>
              </w:rPr>
              <w:t>50,000/RECs 2015 Reporting Year</w:t>
            </w:r>
            <w:r w:rsidR="00EC7A6F" w:rsidRPr="0034554E">
              <w:rPr>
                <w:i/>
                <w:sz w:val="22"/>
                <w:szCs w:val="22"/>
              </w:rPr>
              <w:t xml:space="preserve">, </w:t>
            </w:r>
            <w:r w:rsidR="000D6C3F" w:rsidRPr="0034554E">
              <w:rPr>
                <w:i/>
                <w:sz w:val="22"/>
                <w:szCs w:val="22"/>
              </w:rPr>
              <w:t>u</w:t>
            </w:r>
            <w:r w:rsidR="00EC7A6F" w:rsidRPr="0034554E">
              <w:rPr>
                <w:i/>
                <w:sz w:val="22"/>
                <w:szCs w:val="22"/>
              </w:rPr>
              <w:t xml:space="preserve">nit </w:t>
            </w:r>
            <w:r w:rsidR="000D6C3F" w:rsidRPr="0034554E">
              <w:rPr>
                <w:i/>
                <w:sz w:val="22"/>
                <w:szCs w:val="22"/>
              </w:rPr>
              <w:t>c</w:t>
            </w:r>
            <w:r w:rsidR="00EC7A6F" w:rsidRPr="0034554E">
              <w:rPr>
                <w:i/>
                <w:sz w:val="22"/>
                <w:szCs w:val="22"/>
              </w:rPr>
              <w:t>ontingent</w:t>
            </w:r>
            <w:r w:rsidR="00DC6877" w:rsidRPr="0034554E">
              <w:rPr>
                <w:i/>
                <w:sz w:val="22"/>
                <w:szCs w:val="22"/>
              </w:rPr>
              <w:t>”</w:t>
            </w:r>
            <w:r w:rsidRPr="0034554E">
              <w:rPr>
                <w:i/>
                <w:sz w:val="22"/>
                <w:szCs w:val="22"/>
              </w:rPr>
              <w:t>]</w:t>
            </w:r>
          </w:p>
          <w:p w:rsidR="00057EA0" w:rsidRPr="00B10778" w:rsidRDefault="0034554E" w:rsidP="0034554E">
            <w:pPr>
              <w:tabs>
                <w:tab w:val="left" w:pos="1971"/>
              </w:tabs>
              <w:rPr>
                <w:sz w:val="22"/>
                <w:szCs w:val="22"/>
              </w:rPr>
            </w:pPr>
            <w:r>
              <w:rPr>
                <w:sz w:val="22"/>
                <w:szCs w:val="22"/>
              </w:rPr>
              <w:tab/>
            </w:r>
          </w:p>
          <w:p w:rsidR="00380549" w:rsidRDefault="00BC192B" w:rsidP="00B10778">
            <w:pPr>
              <w:rPr>
                <w:sz w:val="22"/>
                <w:szCs w:val="22"/>
              </w:rPr>
            </w:pPr>
            <w:r w:rsidRPr="00B10778">
              <w:rPr>
                <w:sz w:val="22"/>
                <w:szCs w:val="22"/>
              </w:rPr>
              <w:t>WREGIS Certificates</w:t>
            </w:r>
            <w:r w:rsidR="005C658F" w:rsidRPr="00B10778">
              <w:rPr>
                <w:sz w:val="22"/>
                <w:szCs w:val="22"/>
              </w:rPr>
              <w:t xml:space="preserve"> per Reporting Year</w:t>
            </w:r>
            <w:r w:rsidRPr="00B10778">
              <w:rPr>
                <w:sz w:val="22"/>
                <w:szCs w:val="22"/>
              </w:rPr>
              <w:t xml:space="preserve">, </w:t>
            </w:r>
            <w:r w:rsidR="00C67D5F" w:rsidRPr="00B10778">
              <w:rPr>
                <w:sz w:val="22"/>
                <w:szCs w:val="22"/>
              </w:rPr>
              <w:t xml:space="preserve">to be delivered at any time by </w:t>
            </w:r>
            <w:r w:rsidR="000C742D" w:rsidRPr="00B10778">
              <w:rPr>
                <w:sz w:val="22"/>
                <w:szCs w:val="22"/>
              </w:rPr>
              <w:t>April 15</w:t>
            </w:r>
            <w:r w:rsidR="005C658F" w:rsidRPr="00B10778">
              <w:rPr>
                <w:sz w:val="22"/>
                <w:szCs w:val="22"/>
              </w:rPr>
              <w:t xml:space="preserve"> following the end of each Reporting Year</w:t>
            </w:r>
            <w:r w:rsidR="00057EA0" w:rsidRPr="00B10778">
              <w:rPr>
                <w:sz w:val="22"/>
                <w:szCs w:val="22"/>
              </w:rPr>
              <w:t>, as</w:t>
            </w:r>
            <w:r w:rsidR="006C5FA7" w:rsidRPr="00B10778">
              <w:rPr>
                <w:sz w:val="22"/>
                <w:szCs w:val="22"/>
              </w:rPr>
              <w:t xml:space="preserve"> extended pursuant to Section 1 below</w:t>
            </w:r>
            <w:r w:rsidR="005033CE" w:rsidRPr="00B10778">
              <w:rPr>
                <w:sz w:val="22"/>
                <w:szCs w:val="22"/>
              </w:rPr>
              <w:t>, if applicable</w:t>
            </w:r>
            <w:r w:rsidR="009964E1" w:rsidRPr="00B10778">
              <w:rPr>
                <w:i/>
                <w:sz w:val="22"/>
                <w:szCs w:val="22"/>
              </w:rPr>
              <w:t xml:space="preserve"> </w:t>
            </w:r>
            <w:r w:rsidR="00C67D5F" w:rsidRPr="00B10778">
              <w:rPr>
                <w:sz w:val="22"/>
                <w:szCs w:val="22"/>
              </w:rPr>
              <w:t>(</w:t>
            </w:r>
            <w:r w:rsidR="00E92412" w:rsidRPr="00B10778">
              <w:rPr>
                <w:sz w:val="22"/>
                <w:szCs w:val="22"/>
              </w:rPr>
              <w:t>in</w:t>
            </w:r>
            <w:r w:rsidR="00952041" w:rsidRPr="00B10778">
              <w:rPr>
                <w:sz w:val="22"/>
                <w:szCs w:val="22"/>
              </w:rPr>
              <w:t>di</w:t>
            </w:r>
            <w:r w:rsidR="00E92412" w:rsidRPr="00B10778">
              <w:rPr>
                <w:sz w:val="22"/>
                <w:szCs w:val="22"/>
              </w:rPr>
              <w:t xml:space="preserve">vidually and collectively, the </w:t>
            </w:r>
            <w:r w:rsidR="00C67D5F" w:rsidRPr="00B10778">
              <w:rPr>
                <w:sz w:val="22"/>
                <w:szCs w:val="22"/>
              </w:rPr>
              <w:t xml:space="preserve">“REC Delivery Date”), or in partial amounts during the </w:t>
            </w:r>
            <w:r w:rsidR="00E92412" w:rsidRPr="00B10778">
              <w:rPr>
                <w:sz w:val="22"/>
                <w:szCs w:val="22"/>
              </w:rPr>
              <w:t xml:space="preserve">applicable </w:t>
            </w:r>
            <w:r w:rsidR="00C67D5F" w:rsidRPr="00B10778">
              <w:rPr>
                <w:sz w:val="22"/>
                <w:szCs w:val="22"/>
              </w:rPr>
              <w:t xml:space="preserve">REC Delivery Term but not to exceed total amount of </w:t>
            </w:r>
            <w:r w:rsidR="00B10778">
              <w:rPr>
                <w:sz w:val="22"/>
                <w:szCs w:val="22"/>
              </w:rPr>
              <w:t>e</w:t>
            </w:r>
            <w:r w:rsidR="00C67D5F" w:rsidRPr="00B10778">
              <w:rPr>
                <w:sz w:val="22"/>
                <w:szCs w:val="22"/>
              </w:rPr>
              <w:t xml:space="preserve">nergy delivered during the </w:t>
            </w:r>
            <w:r w:rsidR="005C658F" w:rsidRPr="00B10778">
              <w:rPr>
                <w:sz w:val="22"/>
                <w:szCs w:val="22"/>
              </w:rPr>
              <w:t xml:space="preserve">applicable </w:t>
            </w:r>
            <w:r w:rsidR="00C67D5F" w:rsidRPr="00B10778">
              <w:rPr>
                <w:sz w:val="22"/>
                <w:szCs w:val="22"/>
              </w:rPr>
              <w:t>Energy Delivery Term.</w:t>
            </w:r>
            <w:r w:rsidRPr="00B10778">
              <w:rPr>
                <w:sz w:val="22"/>
                <w:szCs w:val="22"/>
              </w:rPr>
              <w:t xml:space="preserve"> </w:t>
            </w:r>
          </w:p>
          <w:p w:rsidR="008E510E" w:rsidRPr="00B10778" w:rsidRDefault="008E510E" w:rsidP="00B10778">
            <w:pPr>
              <w:rPr>
                <w:sz w:val="22"/>
                <w:szCs w:val="22"/>
              </w:rPr>
            </w:pPr>
          </w:p>
        </w:tc>
      </w:tr>
      <w:tr w:rsidR="00BC192B" w:rsidRPr="00B10778" w:rsidTr="006810B2">
        <w:tc>
          <w:tcPr>
            <w:tcW w:w="2898" w:type="dxa"/>
            <w:vAlign w:val="center"/>
          </w:tcPr>
          <w:p w:rsidR="00BC192B" w:rsidRPr="00B10778" w:rsidRDefault="00BC192B" w:rsidP="0065480B">
            <w:pPr>
              <w:rPr>
                <w:b/>
                <w:sz w:val="22"/>
                <w:szCs w:val="22"/>
              </w:rPr>
            </w:pPr>
            <w:r w:rsidRPr="00B10778">
              <w:rPr>
                <w:b/>
                <w:sz w:val="22"/>
                <w:szCs w:val="22"/>
              </w:rPr>
              <w:t>Energy Contract Quantity:</w:t>
            </w:r>
          </w:p>
        </w:tc>
        <w:tc>
          <w:tcPr>
            <w:tcW w:w="5958" w:type="dxa"/>
          </w:tcPr>
          <w:p w:rsidR="008E510E" w:rsidRDefault="00A50D12" w:rsidP="00DC6877">
            <w:pPr>
              <w:rPr>
                <w:sz w:val="22"/>
                <w:szCs w:val="22"/>
              </w:rPr>
            </w:pPr>
            <w:r>
              <w:rPr>
                <w:sz w:val="22"/>
                <w:szCs w:val="22"/>
              </w:rPr>
              <w:t>[</w:t>
            </w:r>
            <w:r>
              <w:rPr>
                <w:i/>
                <w:sz w:val="22"/>
                <w:szCs w:val="22"/>
              </w:rPr>
              <w:t>Energy Contract Quantity</w:t>
            </w:r>
            <w:r w:rsidR="00DC6877">
              <w:rPr>
                <w:i/>
                <w:sz w:val="22"/>
                <w:szCs w:val="22"/>
              </w:rPr>
              <w:t xml:space="preserve"> in MWh</w:t>
            </w:r>
            <w:r>
              <w:rPr>
                <w:sz w:val="22"/>
                <w:szCs w:val="22"/>
              </w:rPr>
              <w:t>]</w:t>
            </w:r>
            <w:r w:rsidR="00EC7A6F">
              <w:rPr>
                <w:sz w:val="22"/>
                <w:szCs w:val="22"/>
              </w:rPr>
              <w:t xml:space="preserve">; the rate of delivery within the Energy Delivery Term will be at Seller’s discretion. </w:t>
            </w:r>
          </w:p>
          <w:p w:rsidR="00BC192B" w:rsidRPr="00B10778" w:rsidRDefault="00EC7A6F" w:rsidP="00DC6877">
            <w:pPr>
              <w:rPr>
                <w:sz w:val="22"/>
                <w:szCs w:val="22"/>
              </w:rPr>
            </w:pPr>
            <w:r>
              <w:rPr>
                <w:sz w:val="22"/>
                <w:szCs w:val="22"/>
              </w:rPr>
              <w:t xml:space="preserve"> </w:t>
            </w:r>
          </w:p>
        </w:tc>
      </w:tr>
      <w:tr w:rsidR="00BC192B" w:rsidRPr="00B10778" w:rsidTr="0065480B">
        <w:tc>
          <w:tcPr>
            <w:tcW w:w="2898" w:type="dxa"/>
          </w:tcPr>
          <w:p w:rsidR="00BC192B" w:rsidRPr="00B10778" w:rsidRDefault="00BC192B" w:rsidP="00AF5F75">
            <w:pPr>
              <w:rPr>
                <w:b/>
                <w:sz w:val="22"/>
                <w:szCs w:val="22"/>
              </w:rPr>
            </w:pPr>
            <w:r w:rsidRPr="00B10778">
              <w:rPr>
                <w:b/>
                <w:sz w:val="22"/>
                <w:szCs w:val="22"/>
              </w:rPr>
              <w:t>REC Price:</w:t>
            </w:r>
          </w:p>
        </w:tc>
        <w:tc>
          <w:tcPr>
            <w:tcW w:w="5958" w:type="dxa"/>
          </w:tcPr>
          <w:p w:rsidR="00175E68" w:rsidRDefault="00BC192B" w:rsidP="0034554E">
            <w:pPr>
              <w:rPr>
                <w:sz w:val="22"/>
                <w:szCs w:val="22"/>
              </w:rPr>
            </w:pPr>
            <w:r w:rsidRPr="00B10778">
              <w:rPr>
                <w:sz w:val="22"/>
                <w:szCs w:val="22"/>
              </w:rPr>
              <w:t>$</w:t>
            </w:r>
            <w:r w:rsidR="00B81C59">
              <w:rPr>
                <w:sz w:val="22"/>
                <w:szCs w:val="22"/>
              </w:rPr>
              <w:t>XX.XX</w:t>
            </w:r>
            <w:r w:rsidRPr="00B10778">
              <w:rPr>
                <w:sz w:val="22"/>
                <w:szCs w:val="22"/>
              </w:rPr>
              <w:t>/ WREGIS Certificate</w:t>
            </w:r>
            <w:r w:rsidR="00C77E6C">
              <w:rPr>
                <w:sz w:val="22"/>
                <w:szCs w:val="22"/>
              </w:rPr>
              <w:t xml:space="preserve"> transferred to Buyer’s WREGIS account</w:t>
            </w:r>
          </w:p>
          <w:p w:rsidR="008E510E" w:rsidRPr="00B10778" w:rsidRDefault="008E510E" w:rsidP="0034554E">
            <w:pPr>
              <w:rPr>
                <w:sz w:val="22"/>
                <w:szCs w:val="22"/>
              </w:rPr>
            </w:pPr>
          </w:p>
        </w:tc>
      </w:tr>
      <w:tr w:rsidR="00423B22" w:rsidRPr="00B10778" w:rsidTr="006810B2">
        <w:tc>
          <w:tcPr>
            <w:tcW w:w="2898" w:type="dxa"/>
            <w:vAlign w:val="center"/>
          </w:tcPr>
          <w:p w:rsidR="00423B22" w:rsidRPr="00B10778" w:rsidRDefault="00423B22" w:rsidP="0065480B">
            <w:pPr>
              <w:rPr>
                <w:b/>
                <w:sz w:val="22"/>
                <w:szCs w:val="22"/>
              </w:rPr>
            </w:pPr>
            <w:r w:rsidRPr="00B10778">
              <w:rPr>
                <w:b/>
                <w:sz w:val="22"/>
                <w:szCs w:val="22"/>
              </w:rPr>
              <w:t>Energy Quality:</w:t>
            </w:r>
          </w:p>
        </w:tc>
        <w:tc>
          <w:tcPr>
            <w:tcW w:w="5958" w:type="dxa"/>
          </w:tcPr>
          <w:p w:rsidR="00057EA0" w:rsidRDefault="00EC7A6F" w:rsidP="00A501D9">
            <w:pPr>
              <w:rPr>
                <w:sz w:val="22"/>
                <w:szCs w:val="22"/>
              </w:rPr>
            </w:pPr>
            <w:r>
              <w:rPr>
                <w:sz w:val="22"/>
                <w:szCs w:val="22"/>
              </w:rPr>
              <w:t>WSPP Service Schedule C (“Energy”)</w:t>
            </w:r>
          </w:p>
          <w:p w:rsidR="008E510E" w:rsidRPr="00B10778" w:rsidRDefault="008E510E" w:rsidP="00A501D9">
            <w:pPr>
              <w:rPr>
                <w:sz w:val="22"/>
                <w:szCs w:val="22"/>
              </w:rPr>
            </w:pPr>
          </w:p>
        </w:tc>
      </w:tr>
      <w:tr w:rsidR="00BC192B" w:rsidRPr="00B10778" w:rsidTr="006810B2">
        <w:tc>
          <w:tcPr>
            <w:tcW w:w="2898" w:type="dxa"/>
            <w:vAlign w:val="center"/>
          </w:tcPr>
          <w:p w:rsidR="00BC192B" w:rsidRPr="00B10778" w:rsidRDefault="00BC192B" w:rsidP="00AF5F75">
            <w:pPr>
              <w:rPr>
                <w:b/>
                <w:sz w:val="22"/>
                <w:szCs w:val="22"/>
              </w:rPr>
            </w:pPr>
            <w:r w:rsidRPr="00B10778">
              <w:rPr>
                <w:b/>
                <w:sz w:val="22"/>
                <w:szCs w:val="22"/>
              </w:rPr>
              <w:t>Energy Price:</w:t>
            </w:r>
          </w:p>
        </w:tc>
        <w:tc>
          <w:tcPr>
            <w:tcW w:w="5958" w:type="dxa"/>
          </w:tcPr>
          <w:p w:rsidR="002077D3" w:rsidRDefault="00896456" w:rsidP="00896456">
            <w:pPr>
              <w:rPr>
                <w:sz w:val="22"/>
                <w:szCs w:val="22"/>
              </w:rPr>
            </w:pPr>
            <w:r>
              <w:rPr>
                <w:sz w:val="22"/>
                <w:szCs w:val="22"/>
              </w:rPr>
              <w:t xml:space="preserve">“Energy Price” means </w:t>
            </w:r>
            <w:r w:rsidR="002077D3" w:rsidRPr="00896456">
              <w:rPr>
                <w:sz w:val="22"/>
                <w:szCs w:val="22"/>
              </w:rPr>
              <w:t>the applicable day-ahead hourly, hour-ahead fifteen minute market, or real-time five minute market locational marginal price at the Delivery Point(s), as published by the CAISO, per MWh of energy delivered</w:t>
            </w:r>
            <w:r>
              <w:rPr>
                <w:sz w:val="22"/>
                <w:szCs w:val="22"/>
              </w:rPr>
              <w:t>.</w:t>
            </w:r>
          </w:p>
          <w:p w:rsidR="008E510E" w:rsidRPr="00B10778" w:rsidRDefault="008E510E" w:rsidP="00896456">
            <w:pPr>
              <w:rPr>
                <w:sz w:val="22"/>
                <w:szCs w:val="22"/>
                <w:highlight w:val="yellow"/>
              </w:rPr>
            </w:pPr>
          </w:p>
        </w:tc>
      </w:tr>
      <w:tr w:rsidR="00896456" w:rsidRPr="00B10778" w:rsidTr="0065480B">
        <w:tc>
          <w:tcPr>
            <w:tcW w:w="2898" w:type="dxa"/>
          </w:tcPr>
          <w:p w:rsidR="00896456" w:rsidRDefault="00896456" w:rsidP="0065480B">
            <w:pPr>
              <w:rPr>
                <w:b/>
                <w:sz w:val="22"/>
                <w:szCs w:val="22"/>
              </w:rPr>
            </w:pPr>
            <w:r>
              <w:rPr>
                <w:b/>
                <w:sz w:val="22"/>
                <w:szCs w:val="22"/>
              </w:rPr>
              <w:t>CAISO Credit:</w:t>
            </w:r>
          </w:p>
        </w:tc>
        <w:tc>
          <w:tcPr>
            <w:tcW w:w="5958" w:type="dxa"/>
          </w:tcPr>
          <w:p w:rsidR="00896456" w:rsidRDefault="00896456" w:rsidP="00896456">
            <w:pPr>
              <w:rPr>
                <w:sz w:val="22"/>
                <w:szCs w:val="22"/>
              </w:rPr>
            </w:pPr>
            <w:r>
              <w:rPr>
                <w:sz w:val="22"/>
                <w:szCs w:val="22"/>
              </w:rPr>
              <w:t xml:space="preserve">“CAISO Credit” means the Energy Price paid by the CAISO to Seller. </w:t>
            </w:r>
          </w:p>
          <w:p w:rsidR="008E510E" w:rsidRDefault="008E510E" w:rsidP="00896456">
            <w:pPr>
              <w:rPr>
                <w:sz w:val="22"/>
                <w:szCs w:val="22"/>
              </w:rPr>
            </w:pPr>
          </w:p>
        </w:tc>
      </w:tr>
      <w:tr w:rsidR="00BC192B" w:rsidRPr="00B10778" w:rsidTr="0065480B">
        <w:tc>
          <w:tcPr>
            <w:tcW w:w="2898" w:type="dxa"/>
          </w:tcPr>
          <w:p w:rsidR="00BC192B" w:rsidRPr="00B10778" w:rsidRDefault="00896456" w:rsidP="0065480B">
            <w:pPr>
              <w:rPr>
                <w:b/>
                <w:sz w:val="22"/>
                <w:szCs w:val="22"/>
              </w:rPr>
            </w:pPr>
            <w:r>
              <w:rPr>
                <w:b/>
                <w:sz w:val="22"/>
                <w:szCs w:val="22"/>
              </w:rPr>
              <w:t>Contract Price</w:t>
            </w:r>
            <w:r w:rsidR="00BC192B" w:rsidRPr="00B10778">
              <w:rPr>
                <w:b/>
                <w:sz w:val="22"/>
                <w:szCs w:val="22"/>
              </w:rPr>
              <w:t>:</w:t>
            </w:r>
          </w:p>
        </w:tc>
        <w:tc>
          <w:tcPr>
            <w:tcW w:w="5958" w:type="dxa"/>
          </w:tcPr>
          <w:p w:rsidR="00BC192B" w:rsidRDefault="00AF5F75" w:rsidP="0065480B">
            <w:pPr>
              <w:rPr>
                <w:sz w:val="22"/>
                <w:szCs w:val="22"/>
              </w:rPr>
            </w:pPr>
            <w:r>
              <w:rPr>
                <w:sz w:val="22"/>
                <w:szCs w:val="22"/>
              </w:rPr>
              <w:t>REC Price</w:t>
            </w:r>
            <w:r w:rsidR="00BC192B" w:rsidRPr="00B10778">
              <w:rPr>
                <w:sz w:val="22"/>
                <w:szCs w:val="22"/>
              </w:rPr>
              <w:t xml:space="preserve"> + </w:t>
            </w:r>
            <w:r w:rsidR="00896456">
              <w:rPr>
                <w:sz w:val="22"/>
                <w:szCs w:val="22"/>
              </w:rPr>
              <w:t>(</w:t>
            </w:r>
            <w:r>
              <w:rPr>
                <w:sz w:val="22"/>
                <w:szCs w:val="22"/>
              </w:rPr>
              <w:t>Energy Price</w:t>
            </w:r>
            <w:r w:rsidR="00896456">
              <w:rPr>
                <w:sz w:val="22"/>
                <w:szCs w:val="22"/>
              </w:rPr>
              <w:t xml:space="preserve"> – CAISO Credit)</w:t>
            </w:r>
            <w:r w:rsidR="00910D85" w:rsidRPr="00B10778">
              <w:rPr>
                <w:sz w:val="22"/>
                <w:szCs w:val="22"/>
              </w:rPr>
              <w:t xml:space="preserve"> </w:t>
            </w:r>
          </w:p>
          <w:p w:rsidR="008E510E" w:rsidRPr="00B10778" w:rsidRDefault="008E510E" w:rsidP="0065480B">
            <w:pPr>
              <w:rPr>
                <w:sz w:val="22"/>
                <w:szCs w:val="22"/>
              </w:rPr>
            </w:pPr>
          </w:p>
        </w:tc>
      </w:tr>
      <w:tr w:rsidR="00BC192B" w:rsidRPr="00B10778" w:rsidTr="0065480B">
        <w:tc>
          <w:tcPr>
            <w:tcW w:w="2898" w:type="dxa"/>
          </w:tcPr>
          <w:p w:rsidR="00BC192B" w:rsidRPr="00B10778" w:rsidRDefault="00BC192B" w:rsidP="0065480B">
            <w:pPr>
              <w:rPr>
                <w:b/>
                <w:sz w:val="22"/>
                <w:szCs w:val="22"/>
              </w:rPr>
            </w:pPr>
            <w:r w:rsidRPr="00B10778">
              <w:rPr>
                <w:b/>
                <w:sz w:val="22"/>
                <w:szCs w:val="22"/>
              </w:rPr>
              <w:t>Project(s)</w:t>
            </w:r>
          </w:p>
        </w:tc>
        <w:tc>
          <w:tcPr>
            <w:tcW w:w="5958" w:type="dxa"/>
          </w:tcPr>
          <w:p w:rsidR="00BC192B" w:rsidRDefault="00523FDB" w:rsidP="0065480B">
            <w:pPr>
              <w:rPr>
                <w:sz w:val="22"/>
                <w:szCs w:val="22"/>
              </w:rPr>
            </w:pPr>
            <w:r w:rsidRPr="00B10778">
              <w:rPr>
                <w:sz w:val="22"/>
                <w:szCs w:val="22"/>
              </w:rPr>
              <w:t>As set forth on Schedule A, which may be amended by Seller from time to time.</w:t>
            </w:r>
          </w:p>
          <w:p w:rsidR="008E510E" w:rsidRPr="00B10778" w:rsidRDefault="008E510E" w:rsidP="0065480B">
            <w:pPr>
              <w:rPr>
                <w:sz w:val="22"/>
                <w:szCs w:val="22"/>
              </w:rPr>
            </w:pPr>
          </w:p>
        </w:tc>
      </w:tr>
      <w:tr w:rsidR="00BC192B" w:rsidRPr="00B10778" w:rsidTr="0065480B">
        <w:tc>
          <w:tcPr>
            <w:tcW w:w="2898" w:type="dxa"/>
            <w:vAlign w:val="center"/>
          </w:tcPr>
          <w:p w:rsidR="00BC192B" w:rsidRPr="00B10778" w:rsidRDefault="00BC192B" w:rsidP="0065480B">
            <w:pPr>
              <w:pStyle w:val="00Normal"/>
              <w:spacing w:after="0"/>
              <w:rPr>
                <w:b/>
                <w:sz w:val="22"/>
                <w:szCs w:val="22"/>
              </w:rPr>
            </w:pPr>
            <w:r w:rsidRPr="00B10778">
              <w:rPr>
                <w:b/>
                <w:sz w:val="22"/>
                <w:szCs w:val="22"/>
              </w:rPr>
              <w:t xml:space="preserve">Delivery: </w:t>
            </w:r>
          </w:p>
        </w:tc>
        <w:tc>
          <w:tcPr>
            <w:tcW w:w="5958" w:type="dxa"/>
          </w:tcPr>
          <w:p w:rsidR="00BC192B" w:rsidRDefault="00BC192B" w:rsidP="0065480B">
            <w:pPr>
              <w:rPr>
                <w:sz w:val="22"/>
                <w:szCs w:val="22"/>
              </w:rPr>
            </w:pPr>
            <w:r w:rsidRPr="00B10778">
              <w:rPr>
                <w:sz w:val="22"/>
                <w:szCs w:val="22"/>
              </w:rPr>
              <w:t>Product will be transferred in accordance with Section 1 below</w:t>
            </w:r>
            <w:r w:rsidR="008E510E">
              <w:rPr>
                <w:sz w:val="22"/>
                <w:szCs w:val="22"/>
              </w:rPr>
              <w:t>.</w:t>
            </w:r>
          </w:p>
          <w:p w:rsidR="008E510E" w:rsidRPr="00B10778" w:rsidRDefault="008E510E" w:rsidP="0065480B">
            <w:pPr>
              <w:rPr>
                <w:sz w:val="22"/>
                <w:szCs w:val="22"/>
              </w:rPr>
            </w:pPr>
          </w:p>
        </w:tc>
      </w:tr>
    </w:tbl>
    <w:p w:rsidR="00BC192B" w:rsidRPr="00B10778" w:rsidRDefault="00BC192B" w:rsidP="00BC192B">
      <w:pPr>
        <w:rPr>
          <w:sz w:val="22"/>
          <w:szCs w:val="22"/>
        </w:rPr>
      </w:pPr>
    </w:p>
    <w:p w:rsidR="009E4767" w:rsidRDefault="00BC192B" w:rsidP="009E4767">
      <w:pPr>
        <w:keepNext/>
        <w:jc w:val="both"/>
        <w:rPr>
          <w:sz w:val="22"/>
          <w:szCs w:val="22"/>
        </w:rPr>
      </w:pPr>
      <w:r w:rsidRPr="00B10778">
        <w:rPr>
          <w:sz w:val="22"/>
          <w:szCs w:val="22"/>
        </w:rPr>
        <w:t>1.</w:t>
      </w:r>
      <w:r w:rsidRPr="00B10778">
        <w:rPr>
          <w:sz w:val="22"/>
          <w:szCs w:val="22"/>
        </w:rPr>
        <w:tab/>
      </w:r>
      <w:r w:rsidRPr="00B10778">
        <w:rPr>
          <w:b/>
          <w:i/>
          <w:sz w:val="22"/>
          <w:szCs w:val="22"/>
        </w:rPr>
        <w:t>Product Delivery; Transfer &amp; Tracking</w:t>
      </w:r>
      <w:r w:rsidRPr="00B10778">
        <w:rPr>
          <w:sz w:val="22"/>
          <w:szCs w:val="22"/>
        </w:rPr>
        <w:t xml:space="preserve">.  </w:t>
      </w:r>
    </w:p>
    <w:p w:rsidR="009E4767" w:rsidRDefault="009E4767" w:rsidP="009E4767">
      <w:pPr>
        <w:keepNext/>
        <w:jc w:val="both"/>
        <w:rPr>
          <w:sz w:val="22"/>
          <w:szCs w:val="22"/>
        </w:rPr>
      </w:pPr>
    </w:p>
    <w:p w:rsidR="009E4767" w:rsidRDefault="00BC192B" w:rsidP="009E4767">
      <w:pPr>
        <w:keepNext/>
        <w:jc w:val="both"/>
        <w:rPr>
          <w:sz w:val="22"/>
          <w:szCs w:val="22"/>
        </w:rPr>
      </w:pPr>
      <w:r w:rsidRPr="00B10778">
        <w:rPr>
          <w:sz w:val="22"/>
          <w:szCs w:val="22"/>
          <w:u w:val="single"/>
        </w:rPr>
        <w:t>Energy Delivery and Associated Firming and Shaping.</w:t>
      </w:r>
      <w:r w:rsidRPr="00B10778">
        <w:rPr>
          <w:sz w:val="22"/>
          <w:szCs w:val="22"/>
        </w:rPr>
        <w:t xml:space="preserve">  </w:t>
      </w:r>
      <w:r w:rsidR="002F39B0" w:rsidRPr="00B10778">
        <w:rPr>
          <w:sz w:val="22"/>
          <w:szCs w:val="22"/>
        </w:rPr>
        <w:t xml:space="preserve">During the </w:t>
      </w:r>
      <w:r w:rsidR="008F1E5C">
        <w:rPr>
          <w:sz w:val="22"/>
          <w:szCs w:val="22"/>
        </w:rPr>
        <w:t xml:space="preserve">Energy </w:t>
      </w:r>
      <w:r w:rsidR="002F39B0" w:rsidRPr="00B10778">
        <w:rPr>
          <w:sz w:val="22"/>
          <w:szCs w:val="22"/>
        </w:rPr>
        <w:t>Delivery Term</w:t>
      </w:r>
      <w:r w:rsidR="00C62A27">
        <w:rPr>
          <w:sz w:val="22"/>
          <w:szCs w:val="22"/>
        </w:rPr>
        <w:t>, a</w:t>
      </w:r>
      <w:r w:rsidR="00293865" w:rsidRPr="00DD0384">
        <w:rPr>
          <w:sz w:val="22"/>
          <w:szCs w:val="22"/>
        </w:rPr>
        <w:t xml:space="preserve">ll </w:t>
      </w:r>
      <w:r w:rsidR="00BC02B1">
        <w:rPr>
          <w:sz w:val="22"/>
          <w:szCs w:val="22"/>
        </w:rPr>
        <w:t>incremental electricity</w:t>
      </w:r>
      <w:r w:rsidR="00293865" w:rsidRPr="00DD0384">
        <w:rPr>
          <w:sz w:val="22"/>
          <w:szCs w:val="22"/>
        </w:rPr>
        <w:t xml:space="preserve"> </w:t>
      </w:r>
      <w:r w:rsidR="00C638D0">
        <w:rPr>
          <w:sz w:val="22"/>
          <w:szCs w:val="22"/>
        </w:rPr>
        <w:t xml:space="preserve">delivered </w:t>
      </w:r>
      <w:r w:rsidR="00C638D0" w:rsidRPr="00DD0384">
        <w:rPr>
          <w:sz w:val="22"/>
          <w:szCs w:val="22"/>
        </w:rPr>
        <w:t>in accordance with this Transaction (“</w:t>
      </w:r>
      <w:r w:rsidR="00C638D0">
        <w:rPr>
          <w:sz w:val="22"/>
          <w:szCs w:val="22"/>
        </w:rPr>
        <w:t>Incremental Electricity</w:t>
      </w:r>
      <w:r w:rsidR="00C638D0" w:rsidRPr="00DD0384">
        <w:rPr>
          <w:sz w:val="22"/>
          <w:szCs w:val="22"/>
        </w:rPr>
        <w:t>”) shall be sourced and scheduled from outside of all California Balancing Authorities</w:t>
      </w:r>
      <w:r w:rsidR="00C638D0">
        <w:rPr>
          <w:sz w:val="22"/>
          <w:szCs w:val="22"/>
        </w:rPr>
        <w:t xml:space="preserve"> and </w:t>
      </w:r>
      <w:r w:rsidR="00293865" w:rsidRPr="00DD0384">
        <w:rPr>
          <w:sz w:val="22"/>
          <w:szCs w:val="22"/>
        </w:rPr>
        <w:t>scheduled into the CAISO Balancing Authority in compliance with 399.16(b)(2) of the Public Utilities Code</w:t>
      </w:r>
      <w:r w:rsidR="00C638D0">
        <w:rPr>
          <w:sz w:val="22"/>
          <w:szCs w:val="22"/>
        </w:rPr>
        <w:t>.</w:t>
      </w:r>
      <w:r w:rsidR="00293865" w:rsidRPr="00DD0384">
        <w:rPr>
          <w:sz w:val="22"/>
          <w:szCs w:val="22"/>
        </w:rPr>
        <w:t xml:space="preserve"> </w:t>
      </w:r>
      <w:r w:rsidR="00C638D0">
        <w:rPr>
          <w:sz w:val="22"/>
          <w:szCs w:val="22"/>
        </w:rPr>
        <w:t xml:space="preserve"> </w:t>
      </w:r>
      <w:r w:rsidR="00BC02B1">
        <w:rPr>
          <w:sz w:val="22"/>
          <w:szCs w:val="22"/>
        </w:rPr>
        <w:t>Incremental Electricity</w:t>
      </w:r>
      <w:r w:rsidR="00293865" w:rsidRPr="00DD0384">
        <w:rPr>
          <w:sz w:val="22"/>
          <w:szCs w:val="22"/>
        </w:rPr>
        <w:t xml:space="preserve"> shall be scheduled into a California Balancing Authority within the same calendar year as the Project Energy is generated.</w:t>
      </w:r>
      <w:r w:rsidR="00DD0384" w:rsidRPr="00DD0384">
        <w:rPr>
          <w:sz w:val="22"/>
          <w:szCs w:val="22"/>
        </w:rPr>
        <w:t xml:space="preserve">  </w:t>
      </w:r>
      <w:r w:rsidR="00293865" w:rsidRPr="00DD0384">
        <w:rPr>
          <w:sz w:val="22"/>
          <w:szCs w:val="22"/>
        </w:rPr>
        <w:t xml:space="preserve">Seller will perform all scheduling and tagging requirements for </w:t>
      </w:r>
      <w:r w:rsidR="00BC02B1">
        <w:rPr>
          <w:sz w:val="22"/>
          <w:szCs w:val="22"/>
        </w:rPr>
        <w:t>Incremental Electricity</w:t>
      </w:r>
      <w:r w:rsidR="00293865" w:rsidRPr="00DD0384">
        <w:rPr>
          <w:sz w:val="22"/>
          <w:szCs w:val="22"/>
        </w:rPr>
        <w:t xml:space="preserve"> scheduled under this Transaction.  These services will be performed consistent with all applicable CAISO and WECC scheduling protocols.  Buyer will take title to Energy at the Delivery Point and authorizes Seller to deliver </w:t>
      </w:r>
      <w:r w:rsidR="00BC02B1">
        <w:rPr>
          <w:sz w:val="22"/>
          <w:szCs w:val="22"/>
        </w:rPr>
        <w:t>Incremental Electricity</w:t>
      </w:r>
      <w:r w:rsidR="00293865" w:rsidRPr="00DD0384">
        <w:rPr>
          <w:sz w:val="22"/>
          <w:szCs w:val="22"/>
        </w:rPr>
        <w:t xml:space="preserve"> to CAISO at the Delivery Point as agent on Buyer’s behalf.  Buyer’s Purchasing Selling Entity (“PSE”), as specified by Buyer, will be shown as the last “PSE” on the “Physical Path” of the e-tag.  Buyer shall notify Seller of any changes to the PSE by email.  Seller will be importer of record of the </w:t>
      </w:r>
      <w:r w:rsidR="00BC02B1">
        <w:rPr>
          <w:sz w:val="22"/>
          <w:szCs w:val="22"/>
        </w:rPr>
        <w:t>Incremental Electricity</w:t>
      </w:r>
      <w:r w:rsidR="00293865" w:rsidRPr="00DD0384">
        <w:rPr>
          <w:sz w:val="22"/>
          <w:szCs w:val="22"/>
        </w:rPr>
        <w:t xml:space="preserve"> into California and must include on the e-tag the Project(s) CEC RPS identification number or numbers as described in WREGIS Operating Rules and Training Documents updated from time to time so that Seller is able to receive e-tags in WREGIS. Seller shall match RECs with e-tags in WREGIS before transferring to Buyer.  Seller represents and warrants to Buyer that for each hour during </w:t>
      </w:r>
      <w:r w:rsidR="00DD0384" w:rsidRPr="00DD0384">
        <w:rPr>
          <w:sz w:val="22"/>
          <w:szCs w:val="22"/>
        </w:rPr>
        <w:t>which Seller is delivering Energy</w:t>
      </w:r>
      <w:r w:rsidR="00293865" w:rsidRPr="00DD0384">
        <w:rPr>
          <w:sz w:val="22"/>
          <w:szCs w:val="22"/>
        </w:rPr>
        <w:t xml:space="preserve">, Seller will have sufficiently reliable firm or non-firm transmission rights to deliver the </w:t>
      </w:r>
      <w:r w:rsidR="00BC02B1">
        <w:rPr>
          <w:sz w:val="22"/>
          <w:szCs w:val="22"/>
        </w:rPr>
        <w:t>Incremental Electricity</w:t>
      </w:r>
      <w:r w:rsidR="00293865" w:rsidRPr="00DD0384">
        <w:rPr>
          <w:sz w:val="22"/>
          <w:szCs w:val="22"/>
        </w:rPr>
        <w:t xml:space="preserve"> into the CAISO Balancing Authority.</w:t>
      </w:r>
    </w:p>
    <w:p w:rsidR="009E4767" w:rsidRDefault="009E4767" w:rsidP="009E4767">
      <w:pPr>
        <w:keepNext/>
        <w:jc w:val="both"/>
        <w:rPr>
          <w:sz w:val="22"/>
          <w:szCs w:val="22"/>
        </w:rPr>
      </w:pPr>
    </w:p>
    <w:p w:rsidR="009E4767" w:rsidRDefault="00B82A1E" w:rsidP="009E4767">
      <w:pPr>
        <w:keepNext/>
        <w:jc w:val="both"/>
        <w:rPr>
          <w:sz w:val="22"/>
          <w:szCs w:val="22"/>
        </w:rPr>
      </w:pPr>
      <w:r w:rsidRPr="00322F5A">
        <w:rPr>
          <w:sz w:val="22"/>
          <w:szCs w:val="22"/>
          <w:u w:val="single"/>
        </w:rPr>
        <w:t>REC Delivery</w:t>
      </w:r>
      <w:r w:rsidRPr="00322F5A">
        <w:rPr>
          <w:sz w:val="22"/>
          <w:szCs w:val="22"/>
        </w:rPr>
        <w:t>.  For each Reporting Year transferred hereunder, Seller shall initiate transfer orders for the applicable REC Contract Quantity in amounts no greater than the applicable Energy Contract Quantity to Buyer’s WREGIS account as the WREGIS Certificates become available in Seller’s WREGIS account, such that the full REC Contract Quantity is provided by the applicable REC Delivery Date</w:t>
      </w:r>
      <w:r w:rsidRPr="00322F5A">
        <w:rPr>
          <w:b/>
          <w:sz w:val="22"/>
          <w:szCs w:val="22"/>
        </w:rPr>
        <w:t xml:space="preserve">.  </w:t>
      </w:r>
      <w:r w:rsidRPr="00322F5A">
        <w:rPr>
          <w:sz w:val="22"/>
          <w:szCs w:val="22"/>
        </w:rPr>
        <w:t>The REC Delivery Date shall be extended automatically until five (5) Business Days following the date that the WREGIS Certificates are first available in Seller’s WREGIS account if the WREGIS Certificates are not available in WREGIS on April</w:t>
      </w:r>
      <w:r w:rsidRPr="00B10778">
        <w:rPr>
          <w:sz w:val="22"/>
          <w:szCs w:val="22"/>
        </w:rPr>
        <w:t xml:space="preserve"> 15</w:t>
      </w:r>
      <w:r w:rsidRPr="00B10778">
        <w:rPr>
          <w:sz w:val="22"/>
          <w:szCs w:val="22"/>
          <w:vertAlign w:val="superscript"/>
        </w:rPr>
        <w:t>th</w:t>
      </w:r>
      <w:r w:rsidRPr="00B10778">
        <w:rPr>
          <w:sz w:val="22"/>
          <w:szCs w:val="22"/>
        </w:rPr>
        <w:t xml:space="preserve"> following the applicable Reporting Year. Upon receiving written, facsimile or electronic confirmation from WREGIS that a transfer order has been initiated by Seller, Buyer shall confirm such transfer order in WREGIS within five (5) Business Days</w:t>
      </w:r>
      <w:r w:rsidRPr="00B10778">
        <w:rPr>
          <w:i/>
          <w:sz w:val="22"/>
          <w:szCs w:val="22"/>
        </w:rPr>
        <w:t xml:space="preserve">. </w:t>
      </w:r>
      <w:r w:rsidR="00405CC5">
        <w:rPr>
          <w:sz w:val="22"/>
          <w:szCs w:val="22"/>
        </w:rPr>
        <w:t xml:space="preserve">Seller will cooperate with Buyer and provide information as requested and as necessary for verification of the Green Attributes under California Public Utilities Code (PUC) Section 399.11 </w:t>
      </w:r>
      <w:r w:rsidR="00405CC5">
        <w:rPr>
          <w:i/>
          <w:sz w:val="22"/>
          <w:szCs w:val="22"/>
        </w:rPr>
        <w:t>et seq</w:t>
      </w:r>
      <w:r w:rsidR="00405CC5">
        <w:rPr>
          <w:sz w:val="22"/>
          <w:szCs w:val="22"/>
        </w:rPr>
        <w:t>. and under PUC 399.16(b)(2), specifically.</w:t>
      </w:r>
    </w:p>
    <w:p w:rsidR="009E4767" w:rsidRDefault="009E4767" w:rsidP="009E4767">
      <w:pPr>
        <w:keepNext/>
        <w:jc w:val="both"/>
        <w:rPr>
          <w:sz w:val="22"/>
          <w:szCs w:val="22"/>
        </w:rPr>
      </w:pPr>
    </w:p>
    <w:p w:rsidR="00EA2994" w:rsidRDefault="00EA2994" w:rsidP="009E4767">
      <w:pPr>
        <w:keepNext/>
        <w:jc w:val="both"/>
        <w:rPr>
          <w:sz w:val="22"/>
          <w:szCs w:val="22"/>
        </w:rPr>
      </w:pPr>
      <w:r w:rsidRPr="00B10778">
        <w:rPr>
          <w:sz w:val="22"/>
          <w:szCs w:val="22"/>
          <w:u w:val="single"/>
        </w:rPr>
        <w:t>Shortfall Energy</w:t>
      </w:r>
      <w:r w:rsidRPr="00B10778">
        <w:rPr>
          <w:sz w:val="22"/>
          <w:szCs w:val="22"/>
        </w:rPr>
        <w:t xml:space="preserve">.  At any time during the Energy Delivery Term, in the event that, as a result of a transmission curtailment or other restriction on Seller’s ability to have the Energy Contract Quantity delivered to the Delivery Point, Seller delivers less than the Energy Contract Quantity during any delivery hour (“Seller’s Shortfall Energy”), Seller </w:t>
      </w:r>
      <w:r w:rsidR="00B41C6B" w:rsidRPr="00B10778">
        <w:rPr>
          <w:sz w:val="22"/>
          <w:szCs w:val="22"/>
        </w:rPr>
        <w:t xml:space="preserve">may upon mutual agreement of the </w:t>
      </w:r>
      <w:r w:rsidR="00C840E8" w:rsidRPr="00B10778">
        <w:rPr>
          <w:sz w:val="22"/>
          <w:szCs w:val="22"/>
        </w:rPr>
        <w:t>P</w:t>
      </w:r>
      <w:r w:rsidR="00B41C6B" w:rsidRPr="00B10778">
        <w:rPr>
          <w:sz w:val="22"/>
          <w:szCs w:val="22"/>
        </w:rPr>
        <w:t>arties</w:t>
      </w:r>
      <w:r w:rsidRPr="00B10778">
        <w:rPr>
          <w:sz w:val="22"/>
          <w:szCs w:val="22"/>
        </w:rPr>
        <w:t xml:space="preserve"> during the Energy Delivery Term make up such Seller’s Shortfall Energy by delivering an additional quantity of Energy</w:t>
      </w:r>
      <w:r w:rsidR="00B41C6B" w:rsidRPr="00B10778">
        <w:rPr>
          <w:sz w:val="22"/>
          <w:szCs w:val="22"/>
        </w:rPr>
        <w:t>,</w:t>
      </w:r>
      <w:r w:rsidRPr="00B10778">
        <w:rPr>
          <w:sz w:val="22"/>
          <w:szCs w:val="22"/>
        </w:rPr>
        <w:t xml:space="preserve"> </w:t>
      </w:r>
      <w:r w:rsidR="00B41C6B" w:rsidRPr="00B10778">
        <w:rPr>
          <w:sz w:val="22"/>
          <w:szCs w:val="22"/>
        </w:rPr>
        <w:t xml:space="preserve">at mutually agreeable times, </w:t>
      </w:r>
      <w:r w:rsidRPr="00B10778">
        <w:rPr>
          <w:sz w:val="22"/>
          <w:szCs w:val="22"/>
        </w:rPr>
        <w:t xml:space="preserve">that equals the total Seller’s Shortfall Energy (“Seller’s Replacement Energy”) during the Energy Delivery Term, provided that such Seller’s Replacement Energy must be associated with </w:t>
      </w:r>
      <w:r w:rsidR="00C840E8" w:rsidRPr="00B10778">
        <w:rPr>
          <w:sz w:val="22"/>
          <w:szCs w:val="22"/>
        </w:rPr>
        <w:t xml:space="preserve">a corresponding amount of </w:t>
      </w:r>
      <w:r w:rsidRPr="00B10778">
        <w:rPr>
          <w:sz w:val="22"/>
          <w:szCs w:val="22"/>
        </w:rPr>
        <w:t>Green Attributes as provided for in this Confirmation Letter</w:t>
      </w:r>
      <w:r w:rsidR="00A75B8A" w:rsidRPr="00B10778">
        <w:rPr>
          <w:sz w:val="22"/>
          <w:szCs w:val="22"/>
        </w:rPr>
        <w:t xml:space="preserve"> and that such energy deliveries meet definition of Product</w:t>
      </w:r>
      <w:r w:rsidRPr="00B10778">
        <w:rPr>
          <w:sz w:val="22"/>
          <w:szCs w:val="22"/>
        </w:rPr>
        <w:t>.</w:t>
      </w:r>
      <w:r w:rsidR="00952041" w:rsidRPr="00B10778">
        <w:rPr>
          <w:sz w:val="22"/>
          <w:szCs w:val="22"/>
        </w:rPr>
        <w:t xml:space="preserve">  </w:t>
      </w:r>
    </w:p>
    <w:p w:rsidR="00215673" w:rsidRPr="00215673" w:rsidRDefault="00215673" w:rsidP="00EA2994">
      <w:pPr>
        <w:jc w:val="both"/>
        <w:rPr>
          <w:sz w:val="22"/>
          <w:szCs w:val="22"/>
          <w:highlight w:val="yellow"/>
        </w:rPr>
      </w:pPr>
    </w:p>
    <w:p w:rsidR="00215673" w:rsidRPr="00F40DBB" w:rsidRDefault="00215673" w:rsidP="00215673">
      <w:pPr>
        <w:jc w:val="both"/>
        <w:rPr>
          <w:sz w:val="22"/>
          <w:szCs w:val="22"/>
        </w:rPr>
      </w:pPr>
      <w:r w:rsidRPr="00F40DBB">
        <w:rPr>
          <w:sz w:val="22"/>
          <w:szCs w:val="22"/>
          <w:u w:val="single"/>
        </w:rPr>
        <w:t>Transfer of Renewable Energy Credits</w:t>
      </w:r>
      <w:r w:rsidRPr="00F40DBB">
        <w:rPr>
          <w:sz w:val="22"/>
          <w:szCs w:val="22"/>
        </w:rPr>
        <w:t>.</w:t>
      </w:r>
      <w:r w:rsidRPr="00F40DBB">
        <w:rPr>
          <w:sz w:val="22"/>
          <w:szCs w:val="22"/>
        </w:rPr>
        <w:tab/>
        <w:t xml:space="preserve">  </w:t>
      </w:r>
      <w:r w:rsidR="00AF10A5" w:rsidRPr="00AF10A5">
        <w:rPr>
          <w:sz w:val="22"/>
          <w:szCs w:val="22"/>
          <w:shd w:val="clear" w:color="auto" w:fill="D9D9D9" w:themeFill="background1" w:themeFillShade="D9"/>
        </w:rPr>
        <w:t>Seller and, if applicable, its successors, represents and warrants that throughout the Delivery Term of this Agreement the Renewable Energy Credits transferred to Buyer conform to the definition and attributes required for compliance with the California Renewables Portfolio Standard, as set forth in California Public Utilities Commission Decision 08-08-028, and as may be modified by subsequent decision of the California Public Utilities Commission or by subsequent legislation.</w:t>
      </w:r>
      <w:r w:rsidRPr="00F40DBB">
        <w:rPr>
          <w:sz w:val="22"/>
          <w:szCs w:val="22"/>
        </w:rPr>
        <w:t xml:space="preserve">  To the extent a change in law occurs after execution of this Agreement that causes this representation and warranty to be materially false or misleading, it shall not be an Event of Default if Seller has used commercially reasonable efforts to comply with such change in law.  [STC REC-1]</w:t>
      </w:r>
    </w:p>
    <w:p w:rsidR="00EA2994" w:rsidRPr="00F40DBB" w:rsidRDefault="00EA2994" w:rsidP="00BC192B">
      <w:pPr>
        <w:jc w:val="both"/>
        <w:rPr>
          <w:sz w:val="22"/>
          <w:szCs w:val="22"/>
        </w:rPr>
      </w:pPr>
    </w:p>
    <w:p w:rsidR="00B82A1E" w:rsidRPr="00B40620" w:rsidRDefault="00B82A1E" w:rsidP="00B82A1E">
      <w:pPr>
        <w:jc w:val="both"/>
        <w:rPr>
          <w:sz w:val="22"/>
          <w:szCs w:val="22"/>
        </w:rPr>
      </w:pPr>
      <w:r w:rsidRPr="00F40DBB">
        <w:rPr>
          <w:sz w:val="22"/>
          <w:szCs w:val="22"/>
          <w:u w:val="single"/>
        </w:rPr>
        <w:t>Tracking of RECs in W</w:t>
      </w:r>
      <w:r w:rsidRPr="00B40620">
        <w:rPr>
          <w:sz w:val="22"/>
          <w:szCs w:val="22"/>
          <w:u w:val="single"/>
        </w:rPr>
        <w:t>REGIS</w:t>
      </w:r>
      <w:r w:rsidRPr="00B40620">
        <w:rPr>
          <w:sz w:val="22"/>
          <w:szCs w:val="22"/>
        </w:rPr>
        <w:t xml:space="preserve">.  Seller warrants that all necessary steps to allow the Renewable Energy Credits transferred to Buyer to be tracked in the Western Renewable Energy Generation Information System will be taken prior to the first delivery under the contract. [STC REC-2] </w:t>
      </w:r>
    </w:p>
    <w:p w:rsidR="00B82A1E" w:rsidRPr="00B40620" w:rsidRDefault="00B82A1E" w:rsidP="008E6341">
      <w:pPr>
        <w:ind w:firstLine="720"/>
        <w:jc w:val="both"/>
      </w:pPr>
    </w:p>
    <w:p w:rsidR="009E4767" w:rsidRDefault="00BC192B" w:rsidP="009E4767">
      <w:pPr>
        <w:tabs>
          <w:tab w:val="left" w:pos="720"/>
          <w:tab w:val="left" w:pos="2520"/>
        </w:tabs>
        <w:jc w:val="both"/>
        <w:rPr>
          <w:sz w:val="22"/>
          <w:szCs w:val="22"/>
        </w:rPr>
      </w:pPr>
      <w:r w:rsidRPr="00B40620">
        <w:rPr>
          <w:sz w:val="22"/>
          <w:szCs w:val="22"/>
        </w:rPr>
        <w:t>2.</w:t>
      </w:r>
      <w:r w:rsidRPr="00B40620">
        <w:rPr>
          <w:sz w:val="22"/>
          <w:szCs w:val="22"/>
        </w:rPr>
        <w:tab/>
      </w:r>
      <w:r w:rsidRPr="00B40620">
        <w:rPr>
          <w:b/>
          <w:i/>
          <w:sz w:val="22"/>
          <w:szCs w:val="22"/>
        </w:rPr>
        <w:t>Payment</w:t>
      </w:r>
      <w:r w:rsidRPr="00B40620">
        <w:rPr>
          <w:sz w:val="22"/>
          <w:szCs w:val="22"/>
        </w:rPr>
        <w:t xml:space="preserve">.  </w:t>
      </w:r>
      <w:r w:rsidR="00896456" w:rsidRPr="00B40620">
        <w:rPr>
          <w:sz w:val="22"/>
          <w:szCs w:val="22"/>
        </w:rPr>
        <w:t xml:space="preserve">For the purposes of this Transaction, Buyer shall pay the Contract Price as follows:  </w:t>
      </w:r>
    </w:p>
    <w:p w:rsidR="009E4767" w:rsidRDefault="009E4767" w:rsidP="009E4767">
      <w:pPr>
        <w:tabs>
          <w:tab w:val="left" w:pos="720"/>
          <w:tab w:val="left" w:pos="2520"/>
        </w:tabs>
        <w:jc w:val="both"/>
        <w:rPr>
          <w:sz w:val="22"/>
          <w:szCs w:val="22"/>
        </w:rPr>
      </w:pPr>
    </w:p>
    <w:p w:rsidR="00896456" w:rsidRPr="00B40620" w:rsidRDefault="00896456" w:rsidP="009E4767">
      <w:pPr>
        <w:tabs>
          <w:tab w:val="left" w:pos="720"/>
          <w:tab w:val="left" w:pos="1440"/>
        </w:tabs>
        <w:jc w:val="both"/>
        <w:rPr>
          <w:sz w:val="22"/>
          <w:szCs w:val="22"/>
        </w:rPr>
      </w:pPr>
      <w:r w:rsidRPr="00B40620">
        <w:rPr>
          <w:sz w:val="22"/>
          <w:szCs w:val="22"/>
        </w:rPr>
        <w:tab/>
        <w:t>a.</w:t>
      </w:r>
      <w:r w:rsidRPr="00B40620">
        <w:rPr>
          <w:sz w:val="22"/>
          <w:szCs w:val="22"/>
        </w:rPr>
        <w:tab/>
        <w:t>Invoicing and payment for Energy delivered to Buyer shall be in accordance with Article 6 of the Master Agreement and Buyer shall pay such invoices in accordance with the Master Agreement and this Confirmation.</w:t>
      </w:r>
    </w:p>
    <w:p w:rsidR="00896456" w:rsidRPr="00B40620" w:rsidRDefault="00896456" w:rsidP="004B19D3">
      <w:pPr>
        <w:tabs>
          <w:tab w:val="left" w:pos="720"/>
          <w:tab w:val="left" w:pos="2520"/>
        </w:tabs>
        <w:jc w:val="both"/>
        <w:rPr>
          <w:sz w:val="22"/>
          <w:szCs w:val="22"/>
        </w:rPr>
      </w:pPr>
    </w:p>
    <w:p w:rsidR="00A8366A" w:rsidRDefault="00896456" w:rsidP="009E4767">
      <w:pPr>
        <w:tabs>
          <w:tab w:val="left" w:pos="720"/>
          <w:tab w:val="left" w:pos="1440"/>
        </w:tabs>
        <w:jc w:val="both"/>
        <w:rPr>
          <w:sz w:val="22"/>
          <w:szCs w:val="22"/>
        </w:rPr>
      </w:pPr>
      <w:r w:rsidRPr="00B40620">
        <w:rPr>
          <w:sz w:val="22"/>
          <w:szCs w:val="22"/>
        </w:rPr>
        <w:tab/>
        <w:t>b.</w:t>
      </w:r>
      <w:r w:rsidRPr="00B40620">
        <w:rPr>
          <w:sz w:val="22"/>
          <w:szCs w:val="22"/>
        </w:rPr>
        <w:tab/>
        <w:t>Invoicing and payment for all Green Attributes delivered on WREGIS to Buyer will be in accordance with Article 6 of the Master Agreement and Buyer shall pay such invoices in accordance with the Master Agreement and this Confirmation</w:t>
      </w:r>
      <w:r w:rsidR="00A8366A">
        <w:rPr>
          <w:sz w:val="22"/>
          <w:szCs w:val="22"/>
        </w:rPr>
        <w:t xml:space="preserve">.  </w:t>
      </w:r>
      <w:r w:rsidR="00BC603E" w:rsidRPr="00B40620">
        <w:rPr>
          <w:sz w:val="22"/>
          <w:szCs w:val="22"/>
        </w:rPr>
        <w:t>F</w:t>
      </w:r>
      <w:r w:rsidR="00AB494B" w:rsidRPr="00B40620">
        <w:rPr>
          <w:sz w:val="22"/>
          <w:szCs w:val="22"/>
        </w:rPr>
        <w:t>or WREGIS Certificates delivered</w:t>
      </w:r>
      <w:r w:rsidR="00BC603E" w:rsidRPr="00B40620">
        <w:rPr>
          <w:sz w:val="22"/>
          <w:szCs w:val="22"/>
        </w:rPr>
        <w:t xml:space="preserve">, within </w:t>
      </w:r>
      <w:r w:rsidR="00DC6877" w:rsidRPr="00B40620">
        <w:rPr>
          <w:sz w:val="22"/>
          <w:szCs w:val="22"/>
        </w:rPr>
        <w:t>fifteen</w:t>
      </w:r>
      <w:r w:rsidR="00BC603E" w:rsidRPr="00B40620">
        <w:rPr>
          <w:sz w:val="22"/>
          <w:szCs w:val="22"/>
        </w:rPr>
        <w:t xml:space="preserve"> (</w:t>
      </w:r>
      <w:r w:rsidR="00DC6877" w:rsidRPr="00B40620">
        <w:rPr>
          <w:sz w:val="22"/>
          <w:szCs w:val="22"/>
        </w:rPr>
        <w:t>15</w:t>
      </w:r>
      <w:r w:rsidR="00BC603E" w:rsidRPr="00B40620">
        <w:rPr>
          <w:sz w:val="22"/>
          <w:szCs w:val="22"/>
        </w:rPr>
        <w:t>) Business Days of Buyer’s receipt of written, facsimile or electronic confirmation from WREGIS that a transfer order has been completed</w:t>
      </w:r>
      <w:r w:rsidR="00BC603E" w:rsidRPr="00B10778">
        <w:rPr>
          <w:sz w:val="22"/>
          <w:szCs w:val="22"/>
        </w:rPr>
        <w:t xml:space="preserve">, Buyer shall pay in full to Seller the following amount:  </w:t>
      </w:r>
      <w:r w:rsidR="00AF5F75">
        <w:rPr>
          <w:sz w:val="22"/>
          <w:szCs w:val="22"/>
        </w:rPr>
        <w:t>REC Price</w:t>
      </w:r>
      <w:r w:rsidR="00BC603E" w:rsidRPr="00B10778">
        <w:rPr>
          <w:sz w:val="22"/>
          <w:szCs w:val="22"/>
        </w:rPr>
        <w:t xml:space="preserve"> ($/REC) multiplied by the number of RECs actually delivered as evidenced by transfer of WREGIS Certificates to Buyer’s WREGIS account</w:t>
      </w:r>
      <w:r w:rsidR="0063502E" w:rsidRPr="00B10778">
        <w:rPr>
          <w:sz w:val="22"/>
          <w:szCs w:val="22"/>
        </w:rPr>
        <w:t>.</w:t>
      </w:r>
      <w:r w:rsidR="00A136EF" w:rsidRPr="00B10778">
        <w:rPr>
          <w:sz w:val="22"/>
          <w:szCs w:val="22"/>
        </w:rPr>
        <w:t xml:space="preserve">  </w:t>
      </w:r>
    </w:p>
    <w:p w:rsidR="00A8366A" w:rsidRDefault="00A8366A" w:rsidP="009E4767">
      <w:pPr>
        <w:tabs>
          <w:tab w:val="left" w:pos="720"/>
          <w:tab w:val="left" w:pos="1440"/>
        </w:tabs>
        <w:jc w:val="both"/>
        <w:rPr>
          <w:sz w:val="22"/>
          <w:szCs w:val="22"/>
        </w:rPr>
      </w:pPr>
    </w:p>
    <w:p w:rsidR="00896456" w:rsidRPr="00896456" w:rsidRDefault="00A8366A" w:rsidP="009E4767">
      <w:pPr>
        <w:tabs>
          <w:tab w:val="left" w:pos="720"/>
          <w:tab w:val="left" w:pos="1440"/>
        </w:tabs>
        <w:jc w:val="both"/>
        <w:rPr>
          <w:sz w:val="22"/>
          <w:szCs w:val="22"/>
        </w:rPr>
      </w:pPr>
      <w:r>
        <w:rPr>
          <w:sz w:val="22"/>
          <w:szCs w:val="22"/>
        </w:rPr>
        <w:tab/>
        <w:t>c.</w:t>
      </w:r>
      <w:r>
        <w:rPr>
          <w:sz w:val="22"/>
          <w:szCs w:val="22"/>
        </w:rPr>
        <w:tab/>
      </w:r>
      <w:r w:rsidR="00896456" w:rsidRPr="00896456">
        <w:rPr>
          <w:sz w:val="22"/>
          <w:szCs w:val="22"/>
        </w:rPr>
        <w:t>The Parties acknowledge that invoicing and payments for the Energy may not occur in the same month as invoicing and payments for the Green Attributes associated with such Energy due to the delivery of the Green Attributes on WREGIS timelines.</w:t>
      </w:r>
    </w:p>
    <w:p w:rsidR="00896456" w:rsidRPr="00B10778" w:rsidRDefault="00896456" w:rsidP="00896456">
      <w:pPr>
        <w:tabs>
          <w:tab w:val="left" w:pos="720"/>
          <w:tab w:val="left" w:pos="2520"/>
        </w:tabs>
        <w:jc w:val="both"/>
        <w:rPr>
          <w:sz w:val="22"/>
          <w:szCs w:val="22"/>
        </w:rPr>
      </w:pPr>
    </w:p>
    <w:p w:rsidR="00BC192B" w:rsidRDefault="00AE303C" w:rsidP="00BC192B">
      <w:pPr>
        <w:rPr>
          <w:sz w:val="22"/>
          <w:szCs w:val="22"/>
        </w:rPr>
      </w:pPr>
      <w:r>
        <w:rPr>
          <w:sz w:val="22"/>
          <w:szCs w:val="22"/>
        </w:rPr>
        <w:t>3</w:t>
      </w:r>
      <w:r w:rsidR="00BC192B" w:rsidRPr="00B10778">
        <w:rPr>
          <w:sz w:val="22"/>
          <w:szCs w:val="22"/>
        </w:rPr>
        <w:t>.</w:t>
      </w:r>
      <w:r w:rsidR="00BC192B" w:rsidRPr="00B10778">
        <w:rPr>
          <w:sz w:val="22"/>
          <w:szCs w:val="22"/>
        </w:rPr>
        <w:tab/>
      </w:r>
      <w:r w:rsidR="00DE1608" w:rsidRPr="00B10778">
        <w:rPr>
          <w:b/>
          <w:i/>
          <w:sz w:val="22"/>
          <w:szCs w:val="22"/>
        </w:rPr>
        <w:t>Physical Delivery</w:t>
      </w:r>
      <w:r w:rsidR="00BC192B" w:rsidRPr="00B10778">
        <w:rPr>
          <w:sz w:val="22"/>
          <w:szCs w:val="22"/>
        </w:rPr>
        <w:t xml:space="preserve">.  </w:t>
      </w:r>
      <w:r w:rsidR="00DE1608" w:rsidRPr="00B10778">
        <w:rPr>
          <w:sz w:val="22"/>
          <w:szCs w:val="22"/>
        </w:rPr>
        <w:t xml:space="preserve">The Parties enter hereinto intending for the RECs and the </w:t>
      </w:r>
      <w:r w:rsidR="002672E2">
        <w:rPr>
          <w:sz w:val="22"/>
          <w:szCs w:val="22"/>
        </w:rPr>
        <w:t>E</w:t>
      </w:r>
      <w:r w:rsidR="00DE1608" w:rsidRPr="00B10778">
        <w:rPr>
          <w:sz w:val="22"/>
          <w:szCs w:val="22"/>
        </w:rPr>
        <w:t>nergy to be physically settled.</w:t>
      </w:r>
    </w:p>
    <w:p w:rsidR="00C730D5" w:rsidRDefault="00C730D5" w:rsidP="006B725A">
      <w:pPr>
        <w:jc w:val="both"/>
        <w:rPr>
          <w:sz w:val="22"/>
          <w:szCs w:val="22"/>
        </w:rPr>
      </w:pPr>
    </w:p>
    <w:p w:rsidR="009820C5" w:rsidRPr="00B10778" w:rsidRDefault="006B725A">
      <w:pPr>
        <w:jc w:val="both"/>
        <w:rPr>
          <w:sz w:val="22"/>
          <w:szCs w:val="22"/>
        </w:rPr>
      </w:pPr>
      <w:r w:rsidRPr="006B725A">
        <w:rPr>
          <w:sz w:val="22"/>
          <w:szCs w:val="22"/>
        </w:rPr>
        <w:t>4.</w:t>
      </w:r>
      <w:r w:rsidRPr="006B725A">
        <w:rPr>
          <w:sz w:val="22"/>
          <w:szCs w:val="22"/>
        </w:rPr>
        <w:tab/>
      </w:r>
      <w:r w:rsidR="00BC192B" w:rsidRPr="00B10778">
        <w:rPr>
          <w:b/>
          <w:i/>
          <w:sz w:val="22"/>
          <w:szCs w:val="22"/>
        </w:rPr>
        <w:t>Term</w:t>
      </w:r>
      <w:r w:rsidR="00BC192B" w:rsidRPr="00B10778">
        <w:rPr>
          <w:sz w:val="22"/>
          <w:szCs w:val="22"/>
        </w:rPr>
        <w:t xml:space="preserve">.  </w:t>
      </w:r>
      <w:r w:rsidR="00BC192B" w:rsidRPr="00B10778">
        <w:rPr>
          <w:sz w:val="22"/>
          <w:szCs w:val="22"/>
        </w:rPr>
        <w:tab/>
        <w:t>This Agreement shall commence on the</w:t>
      </w:r>
      <w:r w:rsidR="00F362FF" w:rsidRPr="00B10778">
        <w:rPr>
          <w:sz w:val="22"/>
          <w:szCs w:val="22"/>
        </w:rPr>
        <w:t xml:space="preserve"> </w:t>
      </w:r>
      <w:r w:rsidR="00F9451C" w:rsidRPr="00B10778">
        <w:rPr>
          <w:sz w:val="22"/>
          <w:szCs w:val="22"/>
        </w:rPr>
        <w:t>Effective</w:t>
      </w:r>
      <w:r w:rsidR="00F362FF" w:rsidRPr="00B10778">
        <w:rPr>
          <w:sz w:val="22"/>
          <w:szCs w:val="22"/>
        </w:rPr>
        <w:t xml:space="preserve"> Date</w:t>
      </w:r>
      <w:r w:rsidR="00BC192B" w:rsidRPr="00B10778">
        <w:rPr>
          <w:sz w:val="22"/>
          <w:szCs w:val="22"/>
        </w:rPr>
        <w:t xml:space="preserve"> and shall terminate on the date on which both Parties have completed the performance of their obligations hereunder, unless earlier terminated pursuant to the terms hereof.</w:t>
      </w:r>
    </w:p>
    <w:p w:rsidR="00952041" w:rsidRPr="00B10778" w:rsidRDefault="00952041" w:rsidP="00952041">
      <w:pPr>
        <w:jc w:val="both"/>
        <w:rPr>
          <w:sz w:val="22"/>
          <w:szCs w:val="22"/>
        </w:rPr>
      </w:pPr>
    </w:p>
    <w:tbl>
      <w:tblPr>
        <w:tblW w:w="9828" w:type="dxa"/>
        <w:tblLayout w:type="fixed"/>
        <w:tblLook w:val="01E0"/>
      </w:tblPr>
      <w:tblGrid>
        <w:gridCol w:w="4428"/>
        <w:gridCol w:w="720"/>
        <w:gridCol w:w="4680"/>
      </w:tblGrid>
      <w:tr w:rsidR="00AB5139" w:rsidRPr="00AE61D0" w:rsidTr="002F037C">
        <w:trPr>
          <w:trHeight w:val="540"/>
        </w:trPr>
        <w:tc>
          <w:tcPr>
            <w:tcW w:w="4428" w:type="dxa"/>
          </w:tcPr>
          <w:p w:rsidR="00AB5139" w:rsidRPr="00AE61D0" w:rsidRDefault="00AB5139" w:rsidP="002F037C">
            <w:pPr>
              <w:rPr>
                <w:b/>
              </w:rPr>
            </w:pPr>
          </w:p>
          <w:p w:rsidR="00AB5139" w:rsidRPr="00AB5139" w:rsidRDefault="00251073" w:rsidP="00AB5139">
            <w:r>
              <w:rPr>
                <w:b/>
                <w:sz w:val="22"/>
                <w:szCs w:val="22"/>
              </w:rPr>
              <w:t>[SELLER]</w:t>
            </w:r>
          </w:p>
        </w:tc>
        <w:tc>
          <w:tcPr>
            <w:tcW w:w="720" w:type="dxa"/>
          </w:tcPr>
          <w:p w:rsidR="00AB5139" w:rsidRPr="00AE61D0" w:rsidRDefault="00AB5139" w:rsidP="002F037C"/>
        </w:tc>
        <w:tc>
          <w:tcPr>
            <w:tcW w:w="4680" w:type="dxa"/>
            <w:vAlign w:val="bottom"/>
          </w:tcPr>
          <w:p w:rsidR="002672E2" w:rsidRDefault="002672E2" w:rsidP="002F037C">
            <w:pPr>
              <w:rPr>
                <w:b/>
                <w:sz w:val="22"/>
                <w:szCs w:val="22"/>
              </w:rPr>
            </w:pPr>
          </w:p>
          <w:p w:rsidR="00AB5139" w:rsidRPr="00AE61D0" w:rsidRDefault="00AB5139" w:rsidP="002F037C">
            <w:pPr>
              <w:rPr>
                <w:b/>
              </w:rPr>
            </w:pPr>
            <w:r w:rsidRPr="00AE61D0">
              <w:rPr>
                <w:b/>
                <w:sz w:val="22"/>
                <w:szCs w:val="22"/>
              </w:rPr>
              <w:t>MARIN CLEAN ENERGY</w:t>
            </w:r>
            <w:r w:rsidR="00251073">
              <w:rPr>
                <w:b/>
                <w:sz w:val="22"/>
                <w:szCs w:val="22"/>
              </w:rPr>
              <w:t>, a California Joint Powers Authority</w:t>
            </w:r>
          </w:p>
        </w:tc>
      </w:tr>
      <w:tr w:rsidR="00AB5139" w:rsidRPr="00AE61D0" w:rsidTr="002F037C">
        <w:tc>
          <w:tcPr>
            <w:tcW w:w="4428" w:type="dxa"/>
          </w:tcPr>
          <w:p w:rsidR="00AB5139" w:rsidRPr="00AE61D0" w:rsidRDefault="00AB5139" w:rsidP="002F037C"/>
          <w:p w:rsidR="00AB5139" w:rsidRPr="00AE61D0" w:rsidRDefault="00AB5139" w:rsidP="002F037C">
            <w:pPr>
              <w:rPr>
                <w:u w:val="single"/>
              </w:rPr>
            </w:pPr>
            <w:r w:rsidRPr="00AE61D0">
              <w:rPr>
                <w:sz w:val="22"/>
                <w:szCs w:val="22"/>
              </w:rPr>
              <w:t xml:space="preserve">By:  </w:t>
            </w:r>
            <w:r w:rsidRPr="00AE61D0">
              <w:rPr>
                <w:sz w:val="22"/>
                <w:szCs w:val="22"/>
                <w:u w:val="single"/>
              </w:rPr>
              <w:tab/>
            </w:r>
            <w:r w:rsidRPr="00AE61D0">
              <w:rPr>
                <w:sz w:val="22"/>
                <w:szCs w:val="22"/>
                <w:u w:val="single"/>
              </w:rPr>
              <w:tab/>
            </w:r>
            <w:r w:rsidRPr="00AE61D0">
              <w:rPr>
                <w:sz w:val="22"/>
                <w:szCs w:val="22"/>
                <w:u w:val="single"/>
              </w:rPr>
              <w:tab/>
            </w:r>
            <w:r w:rsidRPr="00AE61D0">
              <w:rPr>
                <w:sz w:val="22"/>
                <w:szCs w:val="22"/>
                <w:u w:val="single"/>
              </w:rPr>
              <w:tab/>
            </w:r>
            <w:r w:rsidRPr="00AE61D0">
              <w:rPr>
                <w:sz w:val="22"/>
                <w:szCs w:val="22"/>
                <w:u w:val="single"/>
              </w:rPr>
              <w:tab/>
            </w:r>
          </w:p>
        </w:tc>
        <w:tc>
          <w:tcPr>
            <w:tcW w:w="720" w:type="dxa"/>
          </w:tcPr>
          <w:p w:rsidR="00AB5139" w:rsidRPr="00AE61D0" w:rsidRDefault="00AB5139" w:rsidP="002F037C"/>
        </w:tc>
        <w:tc>
          <w:tcPr>
            <w:tcW w:w="4680" w:type="dxa"/>
          </w:tcPr>
          <w:p w:rsidR="00AB5139" w:rsidRPr="00AE61D0" w:rsidRDefault="00AB5139" w:rsidP="002F037C"/>
          <w:p w:rsidR="00AB5139" w:rsidRPr="00AE61D0" w:rsidRDefault="00AB5139" w:rsidP="002F037C">
            <w:r w:rsidRPr="00AE61D0">
              <w:rPr>
                <w:sz w:val="22"/>
                <w:szCs w:val="22"/>
              </w:rPr>
              <w:t xml:space="preserve">By:  </w:t>
            </w:r>
            <w:r w:rsidRPr="00AE61D0">
              <w:rPr>
                <w:sz w:val="22"/>
                <w:szCs w:val="22"/>
                <w:u w:val="single"/>
              </w:rPr>
              <w:tab/>
            </w:r>
            <w:r w:rsidRPr="00AE61D0">
              <w:rPr>
                <w:sz w:val="22"/>
                <w:szCs w:val="22"/>
                <w:u w:val="single"/>
              </w:rPr>
              <w:tab/>
            </w:r>
            <w:r w:rsidRPr="00AE61D0">
              <w:rPr>
                <w:sz w:val="22"/>
                <w:szCs w:val="22"/>
                <w:u w:val="single"/>
              </w:rPr>
              <w:tab/>
            </w:r>
            <w:r w:rsidRPr="00AE61D0">
              <w:rPr>
                <w:sz w:val="22"/>
                <w:szCs w:val="22"/>
                <w:u w:val="single"/>
              </w:rPr>
              <w:tab/>
            </w:r>
            <w:r w:rsidRPr="00AE61D0">
              <w:rPr>
                <w:sz w:val="22"/>
                <w:szCs w:val="22"/>
                <w:u w:val="single"/>
              </w:rPr>
              <w:tab/>
            </w:r>
            <w:r w:rsidRPr="00AE61D0">
              <w:rPr>
                <w:sz w:val="22"/>
                <w:szCs w:val="22"/>
              </w:rPr>
              <w:tab/>
            </w:r>
          </w:p>
        </w:tc>
      </w:tr>
      <w:tr w:rsidR="00AB5139" w:rsidRPr="00AE61D0" w:rsidTr="002F037C">
        <w:tc>
          <w:tcPr>
            <w:tcW w:w="4428" w:type="dxa"/>
          </w:tcPr>
          <w:p w:rsidR="00AB5139" w:rsidRPr="00AE61D0" w:rsidRDefault="00AB5139" w:rsidP="002F037C"/>
        </w:tc>
        <w:tc>
          <w:tcPr>
            <w:tcW w:w="720" w:type="dxa"/>
          </w:tcPr>
          <w:p w:rsidR="00AB5139" w:rsidRPr="00AE61D0" w:rsidRDefault="00AB5139" w:rsidP="002F037C"/>
        </w:tc>
        <w:tc>
          <w:tcPr>
            <w:tcW w:w="4680" w:type="dxa"/>
          </w:tcPr>
          <w:p w:rsidR="00AB5139" w:rsidRPr="00AE61D0" w:rsidRDefault="00AB5139" w:rsidP="002F037C"/>
        </w:tc>
      </w:tr>
      <w:tr w:rsidR="00AB5139" w:rsidRPr="00AE61D0" w:rsidTr="002F037C">
        <w:tc>
          <w:tcPr>
            <w:tcW w:w="4428" w:type="dxa"/>
          </w:tcPr>
          <w:p w:rsidR="00AB5139" w:rsidRPr="00AE61D0" w:rsidRDefault="00AB5139" w:rsidP="00D372D4">
            <w:pPr>
              <w:rPr>
                <w:u w:val="single"/>
              </w:rPr>
            </w:pPr>
            <w:r w:rsidRPr="00AE61D0">
              <w:rPr>
                <w:sz w:val="22"/>
                <w:szCs w:val="22"/>
              </w:rPr>
              <w:t xml:space="preserve">Name:  </w:t>
            </w:r>
            <w:r w:rsidR="00D372D4" w:rsidRPr="00AE61D0">
              <w:rPr>
                <w:sz w:val="22"/>
                <w:szCs w:val="22"/>
                <w:u w:val="single"/>
              </w:rPr>
              <w:tab/>
            </w:r>
            <w:r w:rsidR="00D372D4" w:rsidRPr="00AE61D0">
              <w:rPr>
                <w:sz w:val="22"/>
                <w:szCs w:val="22"/>
                <w:u w:val="single"/>
              </w:rPr>
              <w:tab/>
            </w:r>
            <w:r w:rsidR="00D372D4" w:rsidRPr="00AE61D0">
              <w:rPr>
                <w:sz w:val="22"/>
                <w:szCs w:val="22"/>
                <w:u w:val="single"/>
              </w:rPr>
              <w:tab/>
            </w:r>
            <w:r w:rsidR="00D372D4" w:rsidRPr="00AE61D0">
              <w:rPr>
                <w:sz w:val="22"/>
                <w:szCs w:val="22"/>
                <w:u w:val="single"/>
              </w:rPr>
              <w:tab/>
            </w:r>
            <w:r w:rsidR="00D372D4" w:rsidRPr="00AE61D0">
              <w:rPr>
                <w:sz w:val="22"/>
                <w:szCs w:val="22"/>
                <w:u w:val="single"/>
              </w:rPr>
              <w:tab/>
            </w:r>
          </w:p>
        </w:tc>
        <w:tc>
          <w:tcPr>
            <w:tcW w:w="720" w:type="dxa"/>
          </w:tcPr>
          <w:p w:rsidR="00AB5139" w:rsidRPr="00AE61D0" w:rsidRDefault="00AB5139" w:rsidP="002F037C"/>
        </w:tc>
        <w:tc>
          <w:tcPr>
            <w:tcW w:w="4680" w:type="dxa"/>
          </w:tcPr>
          <w:p w:rsidR="00AB5139" w:rsidRPr="00AE61D0" w:rsidRDefault="00AB5139" w:rsidP="00D372D4">
            <w:pPr>
              <w:rPr>
                <w:u w:val="single"/>
              </w:rPr>
            </w:pPr>
            <w:r w:rsidRPr="00AE61D0">
              <w:rPr>
                <w:sz w:val="22"/>
                <w:szCs w:val="22"/>
              </w:rPr>
              <w:t xml:space="preserve">Name:  </w:t>
            </w:r>
            <w:r w:rsidR="00D372D4" w:rsidRPr="00AE61D0">
              <w:rPr>
                <w:sz w:val="22"/>
                <w:szCs w:val="22"/>
                <w:u w:val="single"/>
              </w:rPr>
              <w:tab/>
            </w:r>
            <w:r w:rsidR="00D372D4" w:rsidRPr="00AE61D0">
              <w:rPr>
                <w:sz w:val="22"/>
                <w:szCs w:val="22"/>
                <w:u w:val="single"/>
              </w:rPr>
              <w:tab/>
            </w:r>
            <w:r w:rsidR="00D372D4" w:rsidRPr="00AE61D0">
              <w:rPr>
                <w:sz w:val="22"/>
                <w:szCs w:val="22"/>
                <w:u w:val="single"/>
              </w:rPr>
              <w:tab/>
            </w:r>
            <w:r w:rsidR="00D372D4" w:rsidRPr="00AE61D0">
              <w:rPr>
                <w:sz w:val="22"/>
                <w:szCs w:val="22"/>
                <w:u w:val="single"/>
              </w:rPr>
              <w:tab/>
            </w:r>
            <w:r w:rsidR="00D372D4" w:rsidRPr="00AE61D0">
              <w:rPr>
                <w:sz w:val="22"/>
                <w:szCs w:val="22"/>
                <w:u w:val="single"/>
              </w:rPr>
              <w:tab/>
            </w:r>
          </w:p>
        </w:tc>
      </w:tr>
      <w:tr w:rsidR="00AB5139" w:rsidRPr="00AE61D0" w:rsidTr="002F037C">
        <w:tc>
          <w:tcPr>
            <w:tcW w:w="4428" w:type="dxa"/>
          </w:tcPr>
          <w:p w:rsidR="00AB5139" w:rsidRPr="00AE61D0" w:rsidRDefault="00AB5139" w:rsidP="002F037C"/>
        </w:tc>
        <w:tc>
          <w:tcPr>
            <w:tcW w:w="720" w:type="dxa"/>
          </w:tcPr>
          <w:p w:rsidR="00AB5139" w:rsidRPr="00AE61D0" w:rsidRDefault="00AB5139" w:rsidP="002F037C"/>
        </w:tc>
        <w:tc>
          <w:tcPr>
            <w:tcW w:w="4680" w:type="dxa"/>
          </w:tcPr>
          <w:p w:rsidR="00AB5139" w:rsidRPr="00AE61D0" w:rsidRDefault="00AB5139" w:rsidP="002F037C"/>
        </w:tc>
      </w:tr>
      <w:tr w:rsidR="00AB5139" w:rsidRPr="00AE61D0" w:rsidTr="002F037C">
        <w:tc>
          <w:tcPr>
            <w:tcW w:w="4428" w:type="dxa"/>
          </w:tcPr>
          <w:p w:rsidR="00AB5139" w:rsidRPr="00AE61D0" w:rsidRDefault="00AB5139" w:rsidP="00D372D4">
            <w:pPr>
              <w:rPr>
                <w:u w:val="single"/>
              </w:rPr>
            </w:pPr>
            <w:r w:rsidRPr="00AE61D0">
              <w:rPr>
                <w:sz w:val="22"/>
                <w:szCs w:val="22"/>
              </w:rPr>
              <w:t xml:space="preserve">Title:  </w:t>
            </w:r>
            <w:r w:rsidR="00D372D4" w:rsidRPr="00AE61D0">
              <w:rPr>
                <w:sz w:val="22"/>
                <w:szCs w:val="22"/>
                <w:u w:val="single"/>
              </w:rPr>
              <w:tab/>
            </w:r>
            <w:r w:rsidR="00D372D4" w:rsidRPr="00AE61D0">
              <w:rPr>
                <w:sz w:val="22"/>
                <w:szCs w:val="22"/>
                <w:u w:val="single"/>
              </w:rPr>
              <w:tab/>
            </w:r>
            <w:r w:rsidR="00D372D4" w:rsidRPr="00AE61D0">
              <w:rPr>
                <w:sz w:val="22"/>
                <w:szCs w:val="22"/>
                <w:u w:val="single"/>
              </w:rPr>
              <w:tab/>
            </w:r>
            <w:r w:rsidR="00D372D4" w:rsidRPr="00AE61D0">
              <w:rPr>
                <w:sz w:val="22"/>
                <w:szCs w:val="22"/>
                <w:u w:val="single"/>
              </w:rPr>
              <w:tab/>
            </w:r>
            <w:r w:rsidR="00D372D4" w:rsidRPr="00AE61D0">
              <w:rPr>
                <w:sz w:val="22"/>
                <w:szCs w:val="22"/>
                <w:u w:val="single"/>
              </w:rPr>
              <w:tab/>
            </w:r>
          </w:p>
        </w:tc>
        <w:tc>
          <w:tcPr>
            <w:tcW w:w="720" w:type="dxa"/>
          </w:tcPr>
          <w:p w:rsidR="00AB5139" w:rsidRPr="00AE61D0" w:rsidRDefault="00AB5139" w:rsidP="002F037C"/>
        </w:tc>
        <w:tc>
          <w:tcPr>
            <w:tcW w:w="4680" w:type="dxa"/>
          </w:tcPr>
          <w:p w:rsidR="00AB5139" w:rsidRPr="00AE61D0" w:rsidRDefault="00AB5139" w:rsidP="002F037C">
            <w:pPr>
              <w:rPr>
                <w:u w:val="single"/>
              </w:rPr>
            </w:pPr>
            <w:r w:rsidRPr="00AE61D0">
              <w:rPr>
                <w:sz w:val="22"/>
                <w:szCs w:val="22"/>
              </w:rPr>
              <w:t xml:space="preserve">Title:  </w:t>
            </w:r>
            <w:r w:rsidRPr="00AE61D0">
              <w:rPr>
                <w:sz w:val="22"/>
                <w:szCs w:val="22"/>
                <w:u w:val="single"/>
              </w:rPr>
              <w:tab/>
            </w:r>
            <w:r w:rsidRPr="00AE61D0">
              <w:rPr>
                <w:sz w:val="22"/>
                <w:szCs w:val="22"/>
                <w:u w:val="single"/>
              </w:rPr>
              <w:tab/>
            </w:r>
            <w:r w:rsidRPr="00AE61D0">
              <w:rPr>
                <w:sz w:val="22"/>
                <w:szCs w:val="22"/>
                <w:u w:val="single"/>
              </w:rPr>
              <w:tab/>
            </w:r>
            <w:r w:rsidRPr="00AE61D0">
              <w:rPr>
                <w:sz w:val="22"/>
                <w:szCs w:val="22"/>
                <w:u w:val="single"/>
              </w:rPr>
              <w:tab/>
            </w:r>
            <w:r w:rsidRPr="00AE61D0">
              <w:rPr>
                <w:sz w:val="22"/>
                <w:szCs w:val="22"/>
                <w:u w:val="single"/>
              </w:rPr>
              <w:tab/>
            </w:r>
          </w:p>
        </w:tc>
      </w:tr>
      <w:tr w:rsidR="00AB5139" w:rsidRPr="00AE61D0" w:rsidTr="002F037C">
        <w:tc>
          <w:tcPr>
            <w:tcW w:w="4428" w:type="dxa"/>
          </w:tcPr>
          <w:p w:rsidR="00AB5139" w:rsidRPr="00AE61D0" w:rsidRDefault="00AB5139" w:rsidP="002F037C"/>
        </w:tc>
        <w:tc>
          <w:tcPr>
            <w:tcW w:w="720" w:type="dxa"/>
          </w:tcPr>
          <w:p w:rsidR="00AB5139" w:rsidRPr="00AE61D0" w:rsidRDefault="00AB5139" w:rsidP="002F037C"/>
        </w:tc>
        <w:tc>
          <w:tcPr>
            <w:tcW w:w="4680" w:type="dxa"/>
          </w:tcPr>
          <w:p w:rsidR="00AB5139" w:rsidRPr="00AE61D0" w:rsidRDefault="00AB5139" w:rsidP="002F037C"/>
        </w:tc>
      </w:tr>
      <w:tr w:rsidR="00AB5139" w:rsidRPr="00AE61D0" w:rsidTr="002F037C">
        <w:tc>
          <w:tcPr>
            <w:tcW w:w="4428" w:type="dxa"/>
          </w:tcPr>
          <w:p w:rsidR="00AB5139" w:rsidRPr="00AE61D0" w:rsidRDefault="00AB5139" w:rsidP="002F037C">
            <w:pPr>
              <w:rPr>
                <w:u w:val="single"/>
              </w:rPr>
            </w:pPr>
            <w:r w:rsidRPr="00AE61D0">
              <w:rPr>
                <w:sz w:val="22"/>
                <w:szCs w:val="22"/>
              </w:rPr>
              <w:t xml:space="preserve">Date:  </w:t>
            </w:r>
            <w:r w:rsidRPr="00AE61D0">
              <w:rPr>
                <w:sz w:val="22"/>
                <w:szCs w:val="22"/>
                <w:u w:val="single"/>
              </w:rPr>
              <w:tab/>
            </w:r>
            <w:r w:rsidRPr="00AE61D0">
              <w:rPr>
                <w:sz w:val="22"/>
                <w:szCs w:val="22"/>
                <w:u w:val="single"/>
              </w:rPr>
              <w:tab/>
            </w:r>
            <w:r w:rsidRPr="00AE61D0">
              <w:rPr>
                <w:sz w:val="22"/>
                <w:szCs w:val="22"/>
                <w:u w:val="single"/>
              </w:rPr>
              <w:tab/>
            </w:r>
            <w:r w:rsidRPr="00AE61D0">
              <w:rPr>
                <w:sz w:val="22"/>
                <w:szCs w:val="22"/>
                <w:u w:val="single"/>
              </w:rPr>
              <w:tab/>
            </w:r>
            <w:r w:rsidRPr="00AE61D0">
              <w:rPr>
                <w:sz w:val="22"/>
                <w:szCs w:val="22"/>
                <w:u w:val="single"/>
              </w:rPr>
              <w:tab/>
            </w:r>
          </w:p>
        </w:tc>
        <w:tc>
          <w:tcPr>
            <w:tcW w:w="720" w:type="dxa"/>
          </w:tcPr>
          <w:p w:rsidR="00AB5139" w:rsidRPr="00AE61D0" w:rsidRDefault="00AB5139" w:rsidP="002F037C"/>
        </w:tc>
        <w:tc>
          <w:tcPr>
            <w:tcW w:w="4680" w:type="dxa"/>
          </w:tcPr>
          <w:p w:rsidR="00AB5139" w:rsidRPr="00AE61D0" w:rsidRDefault="00AB5139" w:rsidP="002F037C">
            <w:pPr>
              <w:rPr>
                <w:u w:val="single"/>
              </w:rPr>
            </w:pPr>
            <w:r w:rsidRPr="00AE61D0">
              <w:rPr>
                <w:sz w:val="22"/>
                <w:szCs w:val="22"/>
              </w:rPr>
              <w:t xml:space="preserve">Date:  </w:t>
            </w:r>
            <w:r w:rsidRPr="00AE61D0">
              <w:rPr>
                <w:sz w:val="22"/>
                <w:szCs w:val="22"/>
                <w:u w:val="single"/>
              </w:rPr>
              <w:tab/>
            </w:r>
            <w:r w:rsidRPr="00AE61D0">
              <w:rPr>
                <w:sz w:val="22"/>
                <w:szCs w:val="22"/>
                <w:u w:val="single"/>
              </w:rPr>
              <w:tab/>
            </w:r>
            <w:r w:rsidRPr="00AE61D0">
              <w:rPr>
                <w:sz w:val="22"/>
                <w:szCs w:val="22"/>
                <w:u w:val="single"/>
              </w:rPr>
              <w:tab/>
            </w:r>
            <w:r w:rsidRPr="00AE61D0">
              <w:rPr>
                <w:sz w:val="22"/>
                <w:szCs w:val="22"/>
                <w:u w:val="single"/>
              </w:rPr>
              <w:tab/>
            </w:r>
            <w:r w:rsidRPr="00AE61D0">
              <w:rPr>
                <w:sz w:val="22"/>
                <w:szCs w:val="22"/>
                <w:u w:val="single"/>
              </w:rPr>
              <w:tab/>
            </w:r>
          </w:p>
        </w:tc>
      </w:tr>
      <w:tr w:rsidR="00AB5139" w:rsidRPr="00AE61D0" w:rsidTr="002F037C">
        <w:trPr>
          <w:trHeight w:val="540"/>
        </w:trPr>
        <w:tc>
          <w:tcPr>
            <w:tcW w:w="4428" w:type="dxa"/>
          </w:tcPr>
          <w:p w:rsidR="00AB5139" w:rsidRPr="00AE61D0" w:rsidRDefault="00AB5139" w:rsidP="002F037C">
            <w:pPr>
              <w:rPr>
                <w:b/>
              </w:rPr>
            </w:pPr>
          </w:p>
          <w:p w:rsidR="00AB5139" w:rsidRPr="00AE61D0" w:rsidRDefault="00AB5139" w:rsidP="002F037C"/>
        </w:tc>
        <w:tc>
          <w:tcPr>
            <w:tcW w:w="720" w:type="dxa"/>
          </w:tcPr>
          <w:p w:rsidR="00AB5139" w:rsidRPr="00AE61D0" w:rsidRDefault="00AB5139" w:rsidP="002F037C"/>
        </w:tc>
        <w:tc>
          <w:tcPr>
            <w:tcW w:w="4680" w:type="dxa"/>
            <w:vAlign w:val="bottom"/>
          </w:tcPr>
          <w:p w:rsidR="00AB5139" w:rsidRPr="00AE61D0" w:rsidRDefault="00AB5139" w:rsidP="002F037C">
            <w:pPr>
              <w:rPr>
                <w:b/>
              </w:rPr>
            </w:pPr>
          </w:p>
        </w:tc>
      </w:tr>
      <w:tr w:rsidR="00AB5139" w:rsidRPr="00AE61D0" w:rsidTr="002F037C">
        <w:tc>
          <w:tcPr>
            <w:tcW w:w="4428" w:type="dxa"/>
          </w:tcPr>
          <w:p w:rsidR="00AB5139" w:rsidRPr="00AE61D0" w:rsidRDefault="00AB5139" w:rsidP="002F037C"/>
          <w:p w:rsidR="00AB5139" w:rsidRPr="00AE61D0" w:rsidRDefault="00AB5139" w:rsidP="002F037C">
            <w:pPr>
              <w:rPr>
                <w:u w:val="single"/>
              </w:rPr>
            </w:pPr>
            <w:r w:rsidRPr="00AE61D0">
              <w:rPr>
                <w:sz w:val="22"/>
                <w:szCs w:val="22"/>
              </w:rPr>
              <w:t xml:space="preserve">By:  </w:t>
            </w:r>
            <w:r w:rsidRPr="00AE61D0">
              <w:rPr>
                <w:sz w:val="22"/>
                <w:szCs w:val="22"/>
                <w:u w:val="single"/>
              </w:rPr>
              <w:tab/>
            </w:r>
            <w:r w:rsidRPr="00AE61D0">
              <w:rPr>
                <w:sz w:val="22"/>
                <w:szCs w:val="22"/>
                <w:u w:val="single"/>
              </w:rPr>
              <w:tab/>
            </w:r>
            <w:r w:rsidRPr="00AE61D0">
              <w:rPr>
                <w:sz w:val="22"/>
                <w:szCs w:val="22"/>
                <w:u w:val="single"/>
              </w:rPr>
              <w:tab/>
            </w:r>
            <w:r w:rsidRPr="00AE61D0">
              <w:rPr>
                <w:sz w:val="22"/>
                <w:szCs w:val="22"/>
                <w:u w:val="single"/>
              </w:rPr>
              <w:tab/>
            </w:r>
            <w:r w:rsidRPr="00AE61D0">
              <w:rPr>
                <w:sz w:val="22"/>
                <w:szCs w:val="22"/>
                <w:u w:val="single"/>
              </w:rPr>
              <w:tab/>
            </w:r>
          </w:p>
        </w:tc>
        <w:tc>
          <w:tcPr>
            <w:tcW w:w="720" w:type="dxa"/>
          </w:tcPr>
          <w:p w:rsidR="00AB5139" w:rsidRPr="00AE61D0" w:rsidRDefault="00AB5139" w:rsidP="002F037C"/>
        </w:tc>
        <w:tc>
          <w:tcPr>
            <w:tcW w:w="4680" w:type="dxa"/>
          </w:tcPr>
          <w:p w:rsidR="00AB5139" w:rsidRPr="00AE61D0" w:rsidRDefault="00AB5139" w:rsidP="002F037C"/>
          <w:p w:rsidR="00AB5139" w:rsidRPr="00AE61D0" w:rsidRDefault="00AB5139" w:rsidP="002F037C">
            <w:r w:rsidRPr="00AE61D0">
              <w:rPr>
                <w:sz w:val="22"/>
                <w:szCs w:val="22"/>
              </w:rPr>
              <w:t xml:space="preserve">By:  </w:t>
            </w:r>
            <w:r w:rsidRPr="00AE61D0">
              <w:rPr>
                <w:sz w:val="22"/>
                <w:szCs w:val="22"/>
                <w:u w:val="single"/>
              </w:rPr>
              <w:tab/>
            </w:r>
            <w:r w:rsidRPr="00AE61D0">
              <w:rPr>
                <w:sz w:val="22"/>
                <w:szCs w:val="22"/>
                <w:u w:val="single"/>
              </w:rPr>
              <w:tab/>
            </w:r>
            <w:r w:rsidRPr="00AE61D0">
              <w:rPr>
                <w:sz w:val="22"/>
                <w:szCs w:val="22"/>
                <w:u w:val="single"/>
              </w:rPr>
              <w:tab/>
            </w:r>
            <w:r w:rsidRPr="00AE61D0">
              <w:rPr>
                <w:sz w:val="22"/>
                <w:szCs w:val="22"/>
                <w:u w:val="single"/>
              </w:rPr>
              <w:tab/>
            </w:r>
            <w:r w:rsidRPr="00AE61D0">
              <w:rPr>
                <w:sz w:val="22"/>
                <w:szCs w:val="22"/>
                <w:u w:val="single"/>
              </w:rPr>
              <w:tab/>
            </w:r>
            <w:r w:rsidRPr="00AE61D0">
              <w:rPr>
                <w:sz w:val="22"/>
                <w:szCs w:val="22"/>
              </w:rPr>
              <w:tab/>
            </w:r>
          </w:p>
        </w:tc>
      </w:tr>
      <w:tr w:rsidR="00AB5139" w:rsidRPr="00AE61D0" w:rsidTr="002F037C">
        <w:tc>
          <w:tcPr>
            <w:tcW w:w="4428" w:type="dxa"/>
          </w:tcPr>
          <w:p w:rsidR="00AB5139" w:rsidRPr="00AE61D0" w:rsidRDefault="00AB5139" w:rsidP="002F037C"/>
        </w:tc>
        <w:tc>
          <w:tcPr>
            <w:tcW w:w="720" w:type="dxa"/>
          </w:tcPr>
          <w:p w:rsidR="00AB5139" w:rsidRPr="00AE61D0" w:rsidRDefault="00AB5139" w:rsidP="002F037C"/>
        </w:tc>
        <w:tc>
          <w:tcPr>
            <w:tcW w:w="4680" w:type="dxa"/>
          </w:tcPr>
          <w:p w:rsidR="00AB5139" w:rsidRPr="00AE61D0" w:rsidRDefault="00AB5139" w:rsidP="002F037C"/>
        </w:tc>
      </w:tr>
      <w:tr w:rsidR="00AB5139" w:rsidRPr="00AE61D0" w:rsidTr="002F037C">
        <w:tc>
          <w:tcPr>
            <w:tcW w:w="4428" w:type="dxa"/>
          </w:tcPr>
          <w:p w:rsidR="00AB5139" w:rsidRPr="00AE61D0" w:rsidRDefault="00AB5139" w:rsidP="00D372D4">
            <w:pPr>
              <w:rPr>
                <w:u w:val="single"/>
              </w:rPr>
            </w:pPr>
            <w:r w:rsidRPr="00AE61D0">
              <w:rPr>
                <w:sz w:val="22"/>
                <w:szCs w:val="22"/>
              </w:rPr>
              <w:t xml:space="preserve">Name:  </w:t>
            </w:r>
            <w:r w:rsidR="00D372D4" w:rsidRPr="00AE61D0">
              <w:rPr>
                <w:sz w:val="22"/>
                <w:szCs w:val="22"/>
                <w:u w:val="single"/>
              </w:rPr>
              <w:tab/>
            </w:r>
            <w:r w:rsidR="00D372D4" w:rsidRPr="00AE61D0">
              <w:rPr>
                <w:sz w:val="22"/>
                <w:szCs w:val="22"/>
                <w:u w:val="single"/>
              </w:rPr>
              <w:tab/>
            </w:r>
            <w:r w:rsidR="00D372D4" w:rsidRPr="00AE61D0">
              <w:rPr>
                <w:sz w:val="22"/>
                <w:szCs w:val="22"/>
                <w:u w:val="single"/>
              </w:rPr>
              <w:tab/>
            </w:r>
            <w:r w:rsidR="00D372D4" w:rsidRPr="00AE61D0">
              <w:rPr>
                <w:sz w:val="22"/>
                <w:szCs w:val="22"/>
                <w:u w:val="single"/>
              </w:rPr>
              <w:tab/>
            </w:r>
            <w:r w:rsidR="00D372D4" w:rsidRPr="00AE61D0">
              <w:rPr>
                <w:sz w:val="22"/>
                <w:szCs w:val="22"/>
                <w:u w:val="single"/>
              </w:rPr>
              <w:tab/>
            </w:r>
          </w:p>
        </w:tc>
        <w:tc>
          <w:tcPr>
            <w:tcW w:w="720" w:type="dxa"/>
          </w:tcPr>
          <w:p w:rsidR="00AB5139" w:rsidRPr="00AE61D0" w:rsidRDefault="00AB5139" w:rsidP="002F037C"/>
        </w:tc>
        <w:tc>
          <w:tcPr>
            <w:tcW w:w="4680" w:type="dxa"/>
          </w:tcPr>
          <w:p w:rsidR="00AB5139" w:rsidRPr="00AE61D0" w:rsidRDefault="00AB5139" w:rsidP="00D372D4">
            <w:pPr>
              <w:rPr>
                <w:u w:val="single"/>
              </w:rPr>
            </w:pPr>
            <w:r w:rsidRPr="00AE61D0">
              <w:rPr>
                <w:sz w:val="22"/>
                <w:szCs w:val="22"/>
              </w:rPr>
              <w:t xml:space="preserve">Name:  </w:t>
            </w:r>
            <w:r w:rsidR="00D372D4" w:rsidRPr="00AE61D0">
              <w:rPr>
                <w:sz w:val="22"/>
                <w:szCs w:val="22"/>
                <w:u w:val="single"/>
              </w:rPr>
              <w:tab/>
            </w:r>
            <w:r w:rsidR="00D372D4" w:rsidRPr="00AE61D0">
              <w:rPr>
                <w:sz w:val="22"/>
                <w:szCs w:val="22"/>
                <w:u w:val="single"/>
              </w:rPr>
              <w:tab/>
            </w:r>
            <w:r w:rsidR="00D372D4" w:rsidRPr="00AE61D0">
              <w:rPr>
                <w:sz w:val="22"/>
                <w:szCs w:val="22"/>
                <w:u w:val="single"/>
              </w:rPr>
              <w:tab/>
            </w:r>
            <w:r w:rsidR="00D372D4" w:rsidRPr="00AE61D0">
              <w:rPr>
                <w:sz w:val="22"/>
                <w:szCs w:val="22"/>
                <w:u w:val="single"/>
              </w:rPr>
              <w:tab/>
            </w:r>
            <w:r w:rsidR="00D372D4" w:rsidRPr="00AE61D0">
              <w:rPr>
                <w:sz w:val="22"/>
                <w:szCs w:val="22"/>
                <w:u w:val="single"/>
              </w:rPr>
              <w:tab/>
            </w:r>
          </w:p>
        </w:tc>
      </w:tr>
      <w:tr w:rsidR="00AB5139" w:rsidRPr="00AE61D0" w:rsidTr="002F037C">
        <w:tc>
          <w:tcPr>
            <w:tcW w:w="4428" w:type="dxa"/>
          </w:tcPr>
          <w:p w:rsidR="00AB5139" w:rsidRPr="00AE61D0" w:rsidRDefault="00AB5139" w:rsidP="002F037C"/>
        </w:tc>
        <w:tc>
          <w:tcPr>
            <w:tcW w:w="720" w:type="dxa"/>
          </w:tcPr>
          <w:p w:rsidR="00AB5139" w:rsidRPr="00AE61D0" w:rsidRDefault="00AB5139" w:rsidP="002F037C"/>
        </w:tc>
        <w:tc>
          <w:tcPr>
            <w:tcW w:w="4680" w:type="dxa"/>
          </w:tcPr>
          <w:p w:rsidR="00AB5139" w:rsidRPr="00AE61D0" w:rsidRDefault="00AB5139" w:rsidP="002F037C"/>
        </w:tc>
      </w:tr>
      <w:tr w:rsidR="00AB5139" w:rsidRPr="00AE61D0" w:rsidTr="002F037C">
        <w:tc>
          <w:tcPr>
            <w:tcW w:w="4428" w:type="dxa"/>
          </w:tcPr>
          <w:p w:rsidR="00AB5139" w:rsidRPr="00AE61D0" w:rsidRDefault="00AB5139" w:rsidP="00D372D4">
            <w:pPr>
              <w:rPr>
                <w:u w:val="single"/>
              </w:rPr>
            </w:pPr>
            <w:r w:rsidRPr="00AE61D0">
              <w:rPr>
                <w:sz w:val="22"/>
                <w:szCs w:val="22"/>
              </w:rPr>
              <w:t xml:space="preserve">Title:  </w:t>
            </w:r>
            <w:r w:rsidR="00D372D4" w:rsidRPr="00AE61D0">
              <w:rPr>
                <w:sz w:val="22"/>
                <w:szCs w:val="22"/>
                <w:u w:val="single"/>
              </w:rPr>
              <w:tab/>
            </w:r>
            <w:r w:rsidR="00D372D4" w:rsidRPr="00AE61D0">
              <w:rPr>
                <w:sz w:val="22"/>
                <w:szCs w:val="22"/>
                <w:u w:val="single"/>
              </w:rPr>
              <w:tab/>
            </w:r>
            <w:r w:rsidR="00D372D4" w:rsidRPr="00AE61D0">
              <w:rPr>
                <w:sz w:val="22"/>
                <w:szCs w:val="22"/>
                <w:u w:val="single"/>
              </w:rPr>
              <w:tab/>
            </w:r>
            <w:r w:rsidR="00D372D4" w:rsidRPr="00AE61D0">
              <w:rPr>
                <w:sz w:val="22"/>
                <w:szCs w:val="22"/>
                <w:u w:val="single"/>
              </w:rPr>
              <w:tab/>
            </w:r>
            <w:r w:rsidR="00D372D4" w:rsidRPr="00AE61D0">
              <w:rPr>
                <w:sz w:val="22"/>
                <w:szCs w:val="22"/>
                <w:u w:val="single"/>
              </w:rPr>
              <w:tab/>
            </w:r>
          </w:p>
        </w:tc>
        <w:tc>
          <w:tcPr>
            <w:tcW w:w="720" w:type="dxa"/>
          </w:tcPr>
          <w:p w:rsidR="00AB5139" w:rsidRPr="00AE61D0" w:rsidRDefault="00AB5139" w:rsidP="002F037C"/>
        </w:tc>
        <w:tc>
          <w:tcPr>
            <w:tcW w:w="4680" w:type="dxa"/>
          </w:tcPr>
          <w:p w:rsidR="00AB5139" w:rsidRPr="00AE61D0" w:rsidRDefault="00AB5139" w:rsidP="002F037C">
            <w:pPr>
              <w:rPr>
                <w:u w:val="single"/>
              </w:rPr>
            </w:pPr>
            <w:r w:rsidRPr="00AE61D0">
              <w:rPr>
                <w:sz w:val="22"/>
                <w:szCs w:val="22"/>
              </w:rPr>
              <w:t xml:space="preserve">Title:  </w:t>
            </w:r>
            <w:r w:rsidRPr="00AE61D0">
              <w:rPr>
                <w:sz w:val="22"/>
                <w:szCs w:val="22"/>
                <w:u w:val="single"/>
              </w:rPr>
              <w:tab/>
            </w:r>
            <w:r w:rsidRPr="00AE61D0">
              <w:rPr>
                <w:sz w:val="22"/>
                <w:szCs w:val="22"/>
                <w:u w:val="single"/>
              </w:rPr>
              <w:tab/>
            </w:r>
            <w:r w:rsidRPr="00AE61D0">
              <w:rPr>
                <w:sz w:val="22"/>
                <w:szCs w:val="22"/>
                <w:u w:val="single"/>
              </w:rPr>
              <w:tab/>
            </w:r>
            <w:r w:rsidRPr="00AE61D0">
              <w:rPr>
                <w:sz w:val="22"/>
                <w:szCs w:val="22"/>
                <w:u w:val="single"/>
              </w:rPr>
              <w:tab/>
            </w:r>
            <w:r w:rsidRPr="00AE61D0">
              <w:rPr>
                <w:sz w:val="22"/>
                <w:szCs w:val="22"/>
                <w:u w:val="single"/>
              </w:rPr>
              <w:tab/>
            </w:r>
          </w:p>
        </w:tc>
      </w:tr>
      <w:tr w:rsidR="00AB5139" w:rsidRPr="00AE61D0" w:rsidTr="002F037C">
        <w:tc>
          <w:tcPr>
            <w:tcW w:w="4428" w:type="dxa"/>
          </w:tcPr>
          <w:p w:rsidR="00AB5139" w:rsidRPr="00AE61D0" w:rsidRDefault="00AB5139" w:rsidP="002F037C"/>
        </w:tc>
        <w:tc>
          <w:tcPr>
            <w:tcW w:w="720" w:type="dxa"/>
          </w:tcPr>
          <w:p w:rsidR="00AB5139" w:rsidRPr="00AE61D0" w:rsidRDefault="00AB5139" w:rsidP="002F037C"/>
        </w:tc>
        <w:tc>
          <w:tcPr>
            <w:tcW w:w="4680" w:type="dxa"/>
          </w:tcPr>
          <w:p w:rsidR="00AB5139" w:rsidRPr="00AE61D0" w:rsidRDefault="00AB5139" w:rsidP="002F037C"/>
        </w:tc>
      </w:tr>
      <w:tr w:rsidR="00AB5139" w:rsidRPr="00AE61D0" w:rsidTr="002F037C">
        <w:tc>
          <w:tcPr>
            <w:tcW w:w="4428" w:type="dxa"/>
          </w:tcPr>
          <w:p w:rsidR="00AB5139" w:rsidRPr="00AE61D0" w:rsidRDefault="00AB5139" w:rsidP="002F037C">
            <w:pPr>
              <w:rPr>
                <w:u w:val="single"/>
              </w:rPr>
            </w:pPr>
            <w:r w:rsidRPr="00AE61D0">
              <w:rPr>
                <w:sz w:val="22"/>
                <w:szCs w:val="22"/>
              </w:rPr>
              <w:t xml:space="preserve">Date:  </w:t>
            </w:r>
            <w:r w:rsidRPr="00AE61D0">
              <w:rPr>
                <w:sz w:val="22"/>
                <w:szCs w:val="22"/>
                <w:u w:val="single"/>
              </w:rPr>
              <w:tab/>
            </w:r>
            <w:r w:rsidRPr="00AE61D0">
              <w:rPr>
                <w:sz w:val="22"/>
                <w:szCs w:val="22"/>
                <w:u w:val="single"/>
              </w:rPr>
              <w:tab/>
            </w:r>
            <w:r w:rsidRPr="00AE61D0">
              <w:rPr>
                <w:sz w:val="22"/>
                <w:szCs w:val="22"/>
                <w:u w:val="single"/>
              </w:rPr>
              <w:tab/>
            </w:r>
            <w:r w:rsidRPr="00AE61D0">
              <w:rPr>
                <w:sz w:val="22"/>
                <w:szCs w:val="22"/>
                <w:u w:val="single"/>
              </w:rPr>
              <w:tab/>
            </w:r>
            <w:r w:rsidRPr="00AE61D0">
              <w:rPr>
                <w:sz w:val="22"/>
                <w:szCs w:val="22"/>
                <w:u w:val="single"/>
              </w:rPr>
              <w:tab/>
            </w:r>
          </w:p>
        </w:tc>
        <w:tc>
          <w:tcPr>
            <w:tcW w:w="720" w:type="dxa"/>
          </w:tcPr>
          <w:p w:rsidR="00AB5139" w:rsidRPr="00AE61D0" w:rsidRDefault="00AB5139" w:rsidP="002F037C"/>
        </w:tc>
        <w:tc>
          <w:tcPr>
            <w:tcW w:w="4680" w:type="dxa"/>
          </w:tcPr>
          <w:p w:rsidR="00AB5139" w:rsidRPr="00AE61D0" w:rsidRDefault="00AB5139" w:rsidP="002F037C">
            <w:pPr>
              <w:rPr>
                <w:u w:val="single"/>
              </w:rPr>
            </w:pPr>
            <w:r w:rsidRPr="00AE61D0">
              <w:rPr>
                <w:sz w:val="22"/>
                <w:szCs w:val="22"/>
              </w:rPr>
              <w:t xml:space="preserve">Date:  </w:t>
            </w:r>
            <w:r w:rsidRPr="00AE61D0">
              <w:rPr>
                <w:sz w:val="22"/>
                <w:szCs w:val="22"/>
                <w:u w:val="single"/>
              </w:rPr>
              <w:tab/>
            </w:r>
            <w:r w:rsidRPr="00AE61D0">
              <w:rPr>
                <w:sz w:val="22"/>
                <w:szCs w:val="22"/>
                <w:u w:val="single"/>
              </w:rPr>
              <w:tab/>
            </w:r>
            <w:r w:rsidRPr="00AE61D0">
              <w:rPr>
                <w:sz w:val="22"/>
                <w:szCs w:val="22"/>
                <w:u w:val="single"/>
              </w:rPr>
              <w:tab/>
            </w:r>
            <w:r w:rsidRPr="00AE61D0">
              <w:rPr>
                <w:sz w:val="22"/>
                <w:szCs w:val="22"/>
                <w:u w:val="single"/>
              </w:rPr>
              <w:tab/>
            </w:r>
            <w:r w:rsidRPr="00AE61D0">
              <w:rPr>
                <w:sz w:val="22"/>
                <w:szCs w:val="22"/>
                <w:u w:val="single"/>
              </w:rPr>
              <w:tab/>
            </w:r>
          </w:p>
        </w:tc>
      </w:tr>
    </w:tbl>
    <w:p w:rsidR="00AB5139" w:rsidRPr="00B10778" w:rsidRDefault="00AB5139" w:rsidP="00952041">
      <w:pPr>
        <w:jc w:val="both"/>
        <w:rPr>
          <w:sz w:val="22"/>
          <w:szCs w:val="22"/>
        </w:rPr>
      </w:pPr>
    </w:p>
    <w:p w:rsidR="00A136EF" w:rsidRPr="00B10778" w:rsidRDefault="00A136EF">
      <w:pPr>
        <w:jc w:val="both"/>
        <w:rPr>
          <w:sz w:val="22"/>
          <w:szCs w:val="22"/>
        </w:rPr>
      </w:pPr>
    </w:p>
    <w:p w:rsidR="00BC192B" w:rsidRPr="00B10778" w:rsidRDefault="00BC192B" w:rsidP="00BC192B">
      <w:pPr>
        <w:ind w:left="3600" w:firstLine="720"/>
        <w:rPr>
          <w:sz w:val="22"/>
          <w:szCs w:val="22"/>
        </w:rPr>
      </w:pPr>
    </w:p>
    <w:p w:rsidR="00D372D4" w:rsidRDefault="00D372D4" w:rsidP="00BC192B">
      <w:pPr>
        <w:jc w:val="center"/>
        <w:rPr>
          <w:b/>
          <w:sz w:val="22"/>
          <w:szCs w:val="22"/>
        </w:rPr>
        <w:sectPr w:rsidR="00D372D4" w:rsidSect="00D372D4">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260" w:left="1800" w:header="720" w:footer="720" w:gutter="0"/>
          <w:cols w:space="720"/>
          <w:titlePg/>
          <w:docGrid w:linePitch="360"/>
        </w:sectPr>
      </w:pPr>
    </w:p>
    <w:p w:rsidR="00BC192B" w:rsidRPr="00B10778" w:rsidRDefault="00DF2072" w:rsidP="00BC192B">
      <w:pPr>
        <w:jc w:val="center"/>
        <w:rPr>
          <w:b/>
          <w:sz w:val="22"/>
          <w:szCs w:val="22"/>
        </w:rPr>
      </w:pPr>
      <w:r w:rsidRPr="00B10778" w:rsidDel="00DF2072">
        <w:rPr>
          <w:b/>
          <w:sz w:val="22"/>
          <w:szCs w:val="22"/>
        </w:rPr>
        <w:t xml:space="preserve"> </w:t>
      </w:r>
      <w:r w:rsidR="00BC192B" w:rsidRPr="00B10778">
        <w:rPr>
          <w:b/>
          <w:sz w:val="22"/>
          <w:szCs w:val="22"/>
        </w:rPr>
        <w:t>GENERAL TERMS AND CONDITIONS</w:t>
      </w:r>
    </w:p>
    <w:p w:rsidR="00BC192B" w:rsidRPr="00B10778" w:rsidRDefault="00BC192B" w:rsidP="00BC192B">
      <w:pPr>
        <w:rPr>
          <w:sz w:val="22"/>
          <w:szCs w:val="22"/>
        </w:rPr>
      </w:pPr>
    </w:p>
    <w:p w:rsidR="00BC192B" w:rsidRPr="00B10778" w:rsidRDefault="00BC192B" w:rsidP="00BC192B">
      <w:pPr>
        <w:jc w:val="both"/>
        <w:rPr>
          <w:b/>
          <w:sz w:val="22"/>
          <w:szCs w:val="22"/>
        </w:rPr>
      </w:pPr>
      <w:r w:rsidRPr="00B10778">
        <w:rPr>
          <w:b/>
          <w:sz w:val="22"/>
          <w:szCs w:val="22"/>
        </w:rPr>
        <w:t>1.</w:t>
      </w:r>
      <w:r w:rsidRPr="00B10778">
        <w:rPr>
          <w:b/>
          <w:sz w:val="22"/>
          <w:szCs w:val="22"/>
        </w:rPr>
        <w:tab/>
      </w:r>
      <w:r w:rsidRPr="00B10778">
        <w:rPr>
          <w:b/>
          <w:caps/>
          <w:sz w:val="22"/>
          <w:szCs w:val="22"/>
        </w:rPr>
        <w:t>Definitions</w:t>
      </w:r>
    </w:p>
    <w:p w:rsidR="00BC192B" w:rsidRPr="00B10778" w:rsidRDefault="00BC192B" w:rsidP="00BC192B">
      <w:pPr>
        <w:jc w:val="both"/>
        <w:rPr>
          <w:sz w:val="22"/>
          <w:szCs w:val="22"/>
        </w:rPr>
      </w:pPr>
    </w:p>
    <w:p w:rsidR="00BC192B" w:rsidRPr="00B10778" w:rsidRDefault="00BC192B" w:rsidP="00BC192B">
      <w:pPr>
        <w:jc w:val="both"/>
        <w:rPr>
          <w:sz w:val="22"/>
          <w:szCs w:val="22"/>
        </w:rPr>
      </w:pPr>
      <w:r w:rsidRPr="00B10778">
        <w:rPr>
          <w:sz w:val="22"/>
          <w:szCs w:val="22"/>
        </w:rPr>
        <w:t>1.1</w:t>
      </w:r>
      <w:r w:rsidRPr="00B10778">
        <w:rPr>
          <w:sz w:val="22"/>
          <w:szCs w:val="22"/>
        </w:rPr>
        <w:tab/>
      </w:r>
      <w:r w:rsidRPr="00B10778">
        <w:rPr>
          <w:sz w:val="22"/>
          <w:szCs w:val="22"/>
          <w:u w:val="single"/>
        </w:rPr>
        <w:t>Definitions</w:t>
      </w:r>
      <w:r w:rsidRPr="00B10778">
        <w:rPr>
          <w:sz w:val="22"/>
          <w:szCs w:val="22"/>
        </w:rPr>
        <w:t>.  In addition to any other terms defined in the Confirmation Letter or these General Terms and Conditions, the following terms shall have the meaning ascribed to them as set forth below:</w:t>
      </w:r>
    </w:p>
    <w:p w:rsidR="00BC192B" w:rsidRPr="00B10778" w:rsidRDefault="00BC192B" w:rsidP="00BC192B">
      <w:pPr>
        <w:jc w:val="both"/>
        <w:rPr>
          <w:sz w:val="22"/>
          <w:szCs w:val="22"/>
        </w:rPr>
      </w:pPr>
    </w:p>
    <w:p w:rsidR="009E5176" w:rsidRPr="00B10778" w:rsidRDefault="009E5176" w:rsidP="00BC192B">
      <w:pPr>
        <w:ind w:firstLine="720"/>
        <w:jc w:val="both"/>
        <w:rPr>
          <w:sz w:val="22"/>
          <w:szCs w:val="22"/>
        </w:rPr>
      </w:pPr>
      <w:r w:rsidRPr="00B10778">
        <w:rPr>
          <w:sz w:val="22"/>
          <w:szCs w:val="22"/>
        </w:rPr>
        <w:t>“</w:t>
      </w:r>
      <w:r w:rsidRPr="00B10778">
        <w:rPr>
          <w:b/>
          <w:sz w:val="22"/>
          <w:szCs w:val="22"/>
        </w:rPr>
        <w:t>7x24</w:t>
      </w:r>
      <w:r w:rsidRPr="00B10778">
        <w:rPr>
          <w:sz w:val="22"/>
          <w:szCs w:val="22"/>
        </w:rPr>
        <w:t>” means HE 0100 PPT through HE 2400 PPT, Monday through Sunday, including NERC Holidays.</w:t>
      </w:r>
    </w:p>
    <w:p w:rsidR="00E562AA" w:rsidRPr="00B10778" w:rsidRDefault="00E562AA">
      <w:pPr>
        <w:ind w:firstLine="720"/>
        <w:jc w:val="both"/>
        <w:rPr>
          <w:sz w:val="22"/>
          <w:szCs w:val="22"/>
        </w:rPr>
      </w:pPr>
    </w:p>
    <w:p w:rsidR="00C03A9E" w:rsidRPr="00BC02B1" w:rsidRDefault="00C03A9E" w:rsidP="00BC02B1">
      <w:pPr>
        <w:ind w:firstLine="720"/>
        <w:jc w:val="both"/>
        <w:rPr>
          <w:sz w:val="22"/>
          <w:szCs w:val="22"/>
        </w:rPr>
      </w:pPr>
      <w:r w:rsidRPr="00BC02B1">
        <w:rPr>
          <w:sz w:val="22"/>
          <w:szCs w:val="22"/>
        </w:rPr>
        <w:t>“</w:t>
      </w:r>
      <w:r w:rsidRPr="00BC02B1">
        <w:rPr>
          <w:b/>
          <w:sz w:val="22"/>
          <w:szCs w:val="22"/>
        </w:rPr>
        <w:t>Buyer Eligibility Default</w:t>
      </w:r>
      <w:r w:rsidRPr="00BC02B1">
        <w:rPr>
          <w:sz w:val="22"/>
          <w:szCs w:val="22"/>
        </w:rPr>
        <w:t xml:space="preserve">” means the failure of any </w:t>
      </w:r>
      <w:r w:rsidR="00BC02B1">
        <w:rPr>
          <w:sz w:val="22"/>
          <w:szCs w:val="22"/>
        </w:rPr>
        <w:t>Incremental Electricity</w:t>
      </w:r>
      <w:r w:rsidRPr="00BC02B1">
        <w:rPr>
          <w:sz w:val="22"/>
          <w:szCs w:val="22"/>
        </w:rPr>
        <w:t xml:space="preserve"> to meet or satisfy any Eligibility Requirement or element or component thereof which is in the direct control of Buyer to meet or satisfy and which arises as a result of or is caused by or attributable to an act or omission of Buyer, including a failure to accept the transfer on WREGIS, </w:t>
      </w:r>
      <w:r w:rsidR="00876A0C">
        <w:rPr>
          <w:sz w:val="22"/>
          <w:szCs w:val="22"/>
        </w:rPr>
        <w:t xml:space="preserve">or </w:t>
      </w:r>
      <w:r w:rsidRPr="00BC02B1">
        <w:rPr>
          <w:sz w:val="22"/>
          <w:szCs w:val="22"/>
        </w:rPr>
        <w:t xml:space="preserve">provide information and data available to Buyer (including as provided by Seller) as may be required to verify the Green Attributes comprised in the </w:t>
      </w:r>
      <w:r w:rsidR="00BC02B1">
        <w:rPr>
          <w:sz w:val="22"/>
          <w:szCs w:val="22"/>
        </w:rPr>
        <w:t>Incremental Electricity</w:t>
      </w:r>
      <w:r w:rsidRPr="00BC02B1">
        <w:rPr>
          <w:sz w:val="22"/>
          <w:szCs w:val="22"/>
        </w:rPr>
        <w:t>.</w:t>
      </w:r>
    </w:p>
    <w:p w:rsidR="00C03A9E" w:rsidRDefault="00C03A9E" w:rsidP="00BC192B">
      <w:pPr>
        <w:ind w:firstLine="720"/>
        <w:jc w:val="both"/>
        <w:rPr>
          <w:sz w:val="22"/>
          <w:szCs w:val="22"/>
        </w:rPr>
      </w:pPr>
    </w:p>
    <w:p w:rsidR="002552FC" w:rsidRPr="00B10778" w:rsidRDefault="002552FC" w:rsidP="00BC192B">
      <w:pPr>
        <w:ind w:firstLine="720"/>
        <w:jc w:val="both"/>
        <w:rPr>
          <w:sz w:val="22"/>
          <w:szCs w:val="22"/>
        </w:rPr>
      </w:pPr>
      <w:r w:rsidRPr="00B10778">
        <w:rPr>
          <w:sz w:val="22"/>
          <w:szCs w:val="22"/>
        </w:rPr>
        <w:t>“</w:t>
      </w:r>
      <w:r w:rsidR="00C67D5F" w:rsidRPr="00B10778">
        <w:rPr>
          <w:b/>
          <w:sz w:val="22"/>
          <w:szCs w:val="22"/>
        </w:rPr>
        <w:t xml:space="preserve">California </w:t>
      </w:r>
      <w:r w:rsidRPr="00B10778">
        <w:rPr>
          <w:b/>
          <w:sz w:val="22"/>
          <w:szCs w:val="22"/>
        </w:rPr>
        <w:t xml:space="preserve">Renewables Portfolio Standard” </w:t>
      </w:r>
      <w:r w:rsidR="00C67D5F" w:rsidRPr="00B10778">
        <w:rPr>
          <w:sz w:val="22"/>
          <w:szCs w:val="22"/>
        </w:rPr>
        <w:t>or</w:t>
      </w:r>
      <w:r w:rsidRPr="00B10778">
        <w:rPr>
          <w:b/>
          <w:sz w:val="22"/>
          <w:szCs w:val="22"/>
        </w:rPr>
        <w:t xml:space="preserve"> “California </w:t>
      </w:r>
      <w:r w:rsidR="00C67D5F" w:rsidRPr="00B10778">
        <w:rPr>
          <w:b/>
          <w:sz w:val="22"/>
          <w:szCs w:val="22"/>
        </w:rPr>
        <w:t>RPS</w:t>
      </w:r>
      <w:r w:rsidRPr="00B10778">
        <w:rPr>
          <w:sz w:val="22"/>
          <w:szCs w:val="22"/>
        </w:rPr>
        <w:t xml:space="preserve">” means </w:t>
      </w:r>
      <w:r w:rsidR="005D7F9F" w:rsidRPr="00B10778">
        <w:rPr>
          <w:sz w:val="22"/>
          <w:szCs w:val="22"/>
        </w:rPr>
        <w:t xml:space="preserve">the California Renewable Portfolio Standard, as administered by the CEC and CPUC and as set forth in CPUC Decision 08-08-028, and as may be modified by subsequent decision of the CPUC or by subsequent legislation, and regulations promulgated with respect thereto, Cal. Pub. Util. Code §§ 399.11 et seq., Cal. Pub. Res. Code §§ 25740-25751, CPUC D.08-04-009, CPUC D.11-01-025, &amp; 11-12-052, and </w:t>
      </w:r>
      <w:r w:rsidR="002207AA" w:rsidRPr="00B10778">
        <w:rPr>
          <w:sz w:val="22"/>
          <w:szCs w:val="22"/>
        </w:rPr>
        <w:t>CEC RPS Eligibility Guidebook (</w:t>
      </w:r>
      <w:r w:rsidR="00952041" w:rsidRPr="00B10778">
        <w:rPr>
          <w:sz w:val="22"/>
          <w:szCs w:val="22"/>
        </w:rPr>
        <w:t>7</w:t>
      </w:r>
      <w:r w:rsidR="005D7F9F" w:rsidRPr="00B10778">
        <w:rPr>
          <w:sz w:val="22"/>
          <w:szCs w:val="22"/>
        </w:rPr>
        <w:t xml:space="preserve">th Ed.), as may be subsequently modified by the CEC.  </w:t>
      </w:r>
      <w:r w:rsidR="00D11161" w:rsidRPr="00B10778">
        <w:rPr>
          <w:sz w:val="22"/>
          <w:szCs w:val="22"/>
        </w:rPr>
        <w:t xml:space="preserve"> </w:t>
      </w:r>
    </w:p>
    <w:p w:rsidR="002E7BA2" w:rsidRPr="00B10778" w:rsidRDefault="002E7BA2" w:rsidP="00BC192B">
      <w:pPr>
        <w:ind w:firstLine="720"/>
        <w:jc w:val="both"/>
        <w:rPr>
          <w:sz w:val="22"/>
          <w:szCs w:val="22"/>
        </w:rPr>
      </w:pPr>
    </w:p>
    <w:p w:rsidR="00BC192B" w:rsidRPr="00B10778" w:rsidRDefault="00BC192B" w:rsidP="00BC192B">
      <w:pPr>
        <w:ind w:firstLine="720"/>
        <w:jc w:val="both"/>
        <w:rPr>
          <w:sz w:val="22"/>
          <w:szCs w:val="22"/>
        </w:rPr>
      </w:pPr>
      <w:r w:rsidRPr="00B10778">
        <w:rPr>
          <w:sz w:val="22"/>
          <w:szCs w:val="22"/>
        </w:rPr>
        <w:t>“</w:t>
      </w:r>
      <w:r w:rsidRPr="00B10778">
        <w:rPr>
          <w:b/>
          <w:sz w:val="22"/>
          <w:szCs w:val="22"/>
        </w:rPr>
        <w:t>CEC</w:t>
      </w:r>
      <w:r w:rsidRPr="00B10778">
        <w:rPr>
          <w:sz w:val="22"/>
          <w:szCs w:val="22"/>
        </w:rPr>
        <w:t>” means the California Energy Commission.</w:t>
      </w:r>
    </w:p>
    <w:p w:rsidR="00BC192B" w:rsidRPr="00B10778" w:rsidRDefault="00BC192B" w:rsidP="00BC192B">
      <w:pPr>
        <w:ind w:firstLine="720"/>
        <w:jc w:val="both"/>
        <w:rPr>
          <w:sz w:val="22"/>
          <w:szCs w:val="22"/>
        </w:rPr>
      </w:pPr>
    </w:p>
    <w:p w:rsidR="00BC192B" w:rsidRPr="00B10778" w:rsidRDefault="00BC192B" w:rsidP="00BC192B">
      <w:pPr>
        <w:ind w:firstLine="720"/>
        <w:jc w:val="both"/>
        <w:rPr>
          <w:sz w:val="22"/>
          <w:szCs w:val="22"/>
        </w:rPr>
      </w:pPr>
      <w:r w:rsidRPr="00B10778">
        <w:rPr>
          <w:sz w:val="22"/>
          <w:szCs w:val="22"/>
        </w:rPr>
        <w:t>“</w:t>
      </w:r>
      <w:r w:rsidRPr="00B10778">
        <w:rPr>
          <w:b/>
          <w:sz w:val="22"/>
          <w:szCs w:val="22"/>
        </w:rPr>
        <w:t>CPUC</w:t>
      </w:r>
      <w:r w:rsidRPr="00B10778">
        <w:rPr>
          <w:sz w:val="22"/>
          <w:szCs w:val="22"/>
        </w:rPr>
        <w:t>” means the California Public Utilities Commission.</w:t>
      </w:r>
    </w:p>
    <w:p w:rsidR="00BC192B" w:rsidRPr="00B10778" w:rsidRDefault="00BC192B" w:rsidP="00BC192B">
      <w:pPr>
        <w:ind w:firstLine="720"/>
        <w:jc w:val="both"/>
        <w:rPr>
          <w:sz w:val="22"/>
          <w:szCs w:val="22"/>
        </w:rPr>
      </w:pPr>
    </w:p>
    <w:p w:rsidR="00BC192B" w:rsidRPr="00B10778" w:rsidRDefault="00BC192B" w:rsidP="00BC192B">
      <w:pPr>
        <w:ind w:firstLine="720"/>
        <w:jc w:val="both"/>
        <w:rPr>
          <w:sz w:val="22"/>
          <w:szCs w:val="22"/>
        </w:rPr>
      </w:pPr>
      <w:r w:rsidRPr="00B10778">
        <w:rPr>
          <w:sz w:val="22"/>
          <w:szCs w:val="22"/>
        </w:rPr>
        <w:t>“</w:t>
      </w:r>
      <w:r w:rsidRPr="00B10778">
        <w:rPr>
          <w:b/>
          <w:sz w:val="22"/>
          <w:szCs w:val="22"/>
        </w:rPr>
        <w:t>ERR</w:t>
      </w:r>
      <w:r w:rsidRPr="00B10778">
        <w:rPr>
          <w:sz w:val="22"/>
          <w:szCs w:val="22"/>
        </w:rPr>
        <w:t xml:space="preserve">” is defined in </w:t>
      </w:r>
      <w:r w:rsidR="002E7BA2" w:rsidRPr="00B10778">
        <w:rPr>
          <w:sz w:val="22"/>
          <w:szCs w:val="22"/>
        </w:rPr>
        <w:t>Article 4 (</w:t>
      </w:r>
      <w:r w:rsidRPr="00B10778">
        <w:rPr>
          <w:sz w:val="22"/>
          <w:szCs w:val="22"/>
        </w:rPr>
        <w:t>Eligibility</w:t>
      </w:r>
      <w:r w:rsidR="002E7BA2" w:rsidRPr="00B10778">
        <w:rPr>
          <w:sz w:val="22"/>
          <w:szCs w:val="22"/>
        </w:rPr>
        <w:t>)</w:t>
      </w:r>
      <w:r w:rsidRPr="00B10778">
        <w:rPr>
          <w:sz w:val="22"/>
          <w:szCs w:val="22"/>
        </w:rPr>
        <w:t xml:space="preserve"> </w:t>
      </w:r>
      <w:r w:rsidR="00C67D5F" w:rsidRPr="00B10778">
        <w:rPr>
          <w:sz w:val="22"/>
          <w:szCs w:val="22"/>
        </w:rPr>
        <w:t>below</w:t>
      </w:r>
      <w:r w:rsidRPr="00B10778">
        <w:rPr>
          <w:sz w:val="22"/>
          <w:szCs w:val="22"/>
        </w:rPr>
        <w:t>.</w:t>
      </w:r>
    </w:p>
    <w:p w:rsidR="00BC192B" w:rsidRPr="00B10778" w:rsidRDefault="00BC192B" w:rsidP="00BC192B">
      <w:pPr>
        <w:ind w:firstLine="720"/>
        <w:jc w:val="both"/>
        <w:rPr>
          <w:sz w:val="22"/>
          <w:szCs w:val="22"/>
        </w:rPr>
      </w:pPr>
    </w:p>
    <w:p w:rsidR="00BC192B" w:rsidRPr="00B10778" w:rsidRDefault="00BC192B" w:rsidP="00BC192B">
      <w:pPr>
        <w:ind w:firstLine="720"/>
        <w:jc w:val="both"/>
        <w:rPr>
          <w:sz w:val="22"/>
          <w:szCs w:val="22"/>
        </w:rPr>
      </w:pPr>
      <w:r w:rsidRPr="00B10778">
        <w:rPr>
          <w:sz w:val="22"/>
          <w:szCs w:val="22"/>
        </w:rPr>
        <w:t>“</w:t>
      </w:r>
      <w:r w:rsidRPr="00B10778">
        <w:rPr>
          <w:b/>
          <w:sz w:val="22"/>
          <w:szCs w:val="22"/>
        </w:rPr>
        <w:t>Force Majeure</w:t>
      </w:r>
      <w:r w:rsidRPr="00B10778">
        <w:rPr>
          <w:sz w:val="22"/>
          <w:szCs w:val="22"/>
        </w:rPr>
        <w:t xml:space="preserve">” means an event or circumstance which materially adversely affects the ability of a Party to perform its obligations under this Agreement, which event or circumstance was not reasonably anticipated as of the Trade Date and which is not within the reasonable control of, or the result of the negligence of, the Party claiming Force Majeure, and which the claiming Party is unable to overcome or avoid or cause to be avoided, by the exercise of reasonable care.  Force Majeure may not be based on (i) the loss or failure of Buyer’s markets; (ii) Buyer’s inability economically to use or resell the Product; (iii) Seller’s ability to sell the Product to another at a price greater than the Contract Price; (iv) Buyer’s ability to produce Product; or (v) Buyer’s ability to purchase product similar to the Product at a price less than the Contract Price.  </w:t>
      </w:r>
      <w:r w:rsidR="00C67D5F" w:rsidRPr="00B10778">
        <w:rPr>
          <w:sz w:val="22"/>
          <w:szCs w:val="22"/>
        </w:rPr>
        <w:t>Force Majeure may include a change in applicable law and may, to the extent such a change falls under Article 6, require a negotiated amendment to this Agreement.</w:t>
      </w:r>
      <w:r w:rsidRPr="00B10778">
        <w:rPr>
          <w:sz w:val="22"/>
          <w:szCs w:val="22"/>
        </w:rPr>
        <w:t xml:space="preserve">  In the case of a Party's obligation to make payments hereunder, Force Majeure will be only an event or act of a governmental authority that on any day disables the banking system through which a Party makes such payments.</w:t>
      </w:r>
    </w:p>
    <w:p w:rsidR="00BC192B" w:rsidRPr="00B10778" w:rsidRDefault="00BC192B" w:rsidP="00BC192B">
      <w:pPr>
        <w:ind w:firstLine="720"/>
        <w:jc w:val="both"/>
        <w:rPr>
          <w:sz w:val="22"/>
          <w:szCs w:val="22"/>
        </w:rPr>
      </w:pPr>
    </w:p>
    <w:p w:rsidR="00BC192B" w:rsidRPr="00B10778" w:rsidRDefault="00BC192B" w:rsidP="00DC6877">
      <w:pPr>
        <w:ind w:firstLine="720"/>
        <w:jc w:val="both"/>
        <w:rPr>
          <w:sz w:val="22"/>
          <w:szCs w:val="22"/>
        </w:rPr>
      </w:pPr>
      <w:r w:rsidRPr="00B10778">
        <w:rPr>
          <w:sz w:val="22"/>
          <w:szCs w:val="22"/>
        </w:rPr>
        <w:t>“</w:t>
      </w:r>
      <w:r w:rsidR="008D53F1" w:rsidRPr="00C730D5">
        <w:rPr>
          <w:b/>
          <w:sz w:val="22"/>
          <w:szCs w:val="22"/>
        </w:rPr>
        <w:t>Green Attributes</w:t>
      </w:r>
      <w:r w:rsidR="008D53F1" w:rsidRPr="00C730D5">
        <w:rPr>
          <w:sz w:val="22"/>
          <w:szCs w:val="22"/>
        </w:rPr>
        <w:t>” means any and all credits, benefits, emissions reductions, offsets, and allowances, howsoever entitled, attributable to the generation from the Project, and its avoided emission of pollutants.  Green Attributes include but are not limited to Renewable Energy Credits, as well as:  (a) any avoided emission of pollutants to the air, soil or water such as sulfur oxides (SOx), nitrogen oxides (NOx), carbon monoxide (CO) and other pollutants; (b) any avoided emissions of carbon dioxide (CO2), methane (CH4), nitrous oxide, hydrofluorocarbons, perfluorocarbons, sulfur hexafluoride and other greenhouse gases (GHGs) that have been determined by the United Nations Intergovernmental Panel on Climate Change, or otherwise by Law, to contribute to the actual or potential threat of altering the E</w:t>
      </w:r>
      <w:r w:rsidR="00FA3A05">
        <w:rPr>
          <w:sz w:val="22"/>
          <w:szCs w:val="22"/>
        </w:rPr>
        <w:t>arth’s climate by trapping heat</w:t>
      </w:r>
      <w:r w:rsidR="00DC6877">
        <w:rPr>
          <w:sz w:val="22"/>
          <w:szCs w:val="22"/>
        </w:rPr>
        <w:t xml:space="preserve"> </w:t>
      </w:r>
      <w:r w:rsidR="008D53F1" w:rsidRPr="00C730D5">
        <w:rPr>
          <w:sz w:val="22"/>
          <w:szCs w:val="22"/>
        </w:rPr>
        <w:t>in the atmosphere;</w:t>
      </w:r>
      <w:r w:rsidR="008D53F1" w:rsidRPr="00C730D5">
        <w:rPr>
          <w:sz w:val="22"/>
          <w:szCs w:val="22"/>
        </w:rPr>
        <w:footnoteReference w:id="2"/>
      </w:r>
      <w:r w:rsidR="008D53F1" w:rsidRPr="00C730D5">
        <w:rPr>
          <w:sz w:val="22"/>
          <w:szCs w:val="22"/>
        </w:rPr>
        <w:t xml:space="preserve"> (c) the reporting rights to these avoided emissions, such as Green Tag Reporting Rights.  Green Tag Reporting Rights are the right of a Green Tag Purchaser to report the ownership of accumulated Green Tags in compliance with federal or state Law, if applicable, and to a federal or state agency or any other party at the Green Tag Purchaser’s discretion, and include without limitation those Green Tag Reporting Rights accruing under Section 1605(b) of The Energy Policy Act of 1992 and any present or future federal, state, or local Law, regulation or bill, and international or foreign emissions trading program.  Green Tags are accumulated on a MWh basis and one Green Tag represents the Green Attributes associated with one (1) MWh of Energy.  Green Attributes do not include (i) any Energy, capacity, reliability or other power attributes from the Project, (ii) production tax credits associated with the construction or operation of the Project and other financial incentives in the form of credits, reductions, or allowances associated with the Project that are applicable to a state or federal income taxation obligation, (iii) fuel-related subsidies or “tipping fees” that may be paid to Seller to accept certain fuels, or local subsidies received by the generator for the destruction of particular preexisting pollutants or the promotion of local environmental benefits, or (iv) emission reduction credits encumbered or used by the Project for compliance with local, state, or federal operating and/or air quality permits.  If the Project is a biomass or biogas facility and Seller receives any tradable Green Attributes based on the greenhouse gas reduction benefits or other emission offsets attributed to its fuel usage, it shall provide Buyer with sufficient Green Attributes to ensure that there are zero net emissions associated with the production of electricity from the Project.  </w:t>
      </w:r>
    </w:p>
    <w:p w:rsidR="00BC192B" w:rsidRPr="00B10778" w:rsidRDefault="00BC192B" w:rsidP="00C730D5">
      <w:pPr>
        <w:ind w:firstLine="720"/>
        <w:jc w:val="both"/>
        <w:rPr>
          <w:sz w:val="22"/>
          <w:szCs w:val="22"/>
        </w:rPr>
      </w:pPr>
    </w:p>
    <w:p w:rsidR="00BC192B" w:rsidRPr="00B10778" w:rsidRDefault="00E749C5" w:rsidP="00BC192B">
      <w:pPr>
        <w:ind w:firstLine="720"/>
        <w:jc w:val="both"/>
        <w:rPr>
          <w:sz w:val="22"/>
          <w:szCs w:val="22"/>
        </w:rPr>
      </w:pPr>
      <w:r w:rsidRPr="00B10778" w:rsidDel="00E749C5">
        <w:rPr>
          <w:sz w:val="22"/>
          <w:szCs w:val="22"/>
        </w:rPr>
        <w:t xml:space="preserve"> </w:t>
      </w:r>
      <w:r w:rsidR="00BC192B" w:rsidRPr="00B10778">
        <w:rPr>
          <w:sz w:val="22"/>
          <w:szCs w:val="22"/>
        </w:rPr>
        <w:t>“</w:t>
      </w:r>
      <w:r w:rsidR="00BC192B" w:rsidRPr="00B10778">
        <w:rPr>
          <w:b/>
          <w:sz w:val="22"/>
          <w:szCs w:val="22"/>
        </w:rPr>
        <w:t>Product</w:t>
      </w:r>
      <w:r w:rsidR="00BC192B" w:rsidRPr="00B10778">
        <w:rPr>
          <w:sz w:val="22"/>
          <w:szCs w:val="22"/>
        </w:rPr>
        <w:t xml:space="preserve">” means the form of energy and Green Attributes (inclusive of RECs) described in the Confirmation Letter for this Transaction.  </w:t>
      </w:r>
    </w:p>
    <w:p w:rsidR="00BC192B" w:rsidRPr="00B10778" w:rsidRDefault="00BC192B" w:rsidP="00BC192B">
      <w:pPr>
        <w:pStyle w:val="BodyText"/>
        <w:spacing w:after="0"/>
        <w:rPr>
          <w:b/>
          <w:sz w:val="22"/>
          <w:szCs w:val="22"/>
        </w:rPr>
      </w:pPr>
    </w:p>
    <w:p w:rsidR="00BC192B" w:rsidRDefault="00BC192B" w:rsidP="009E4767">
      <w:pPr>
        <w:pStyle w:val="BodyText"/>
        <w:ind w:firstLine="720"/>
        <w:jc w:val="both"/>
        <w:rPr>
          <w:sz w:val="22"/>
          <w:szCs w:val="22"/>
        </w:rPr>
      </w:pPr>
      <w:r w:rsidRPr="00B10778">
        <w:rPr>
          <w:sz w:val="22"/>
          <w:szCs w:val="22"/>
        </w:rPr>
        <w:t>“</w:t>
      </w:r>
      <w:r w:rsidRPr="00B10778">
        <w:rPr>
          <w:b/>
          <w:sz w:val="22"/>
          <w:szCs w:val="22"/>
        </w:rPr>
        <w:t>Project</w:t>
      </w:r>
      <w:r w:rsidRPr="00B10778">
        <w:rPr>
          <w:sz w:val="22"/>
          <w:szCs w:val="22"/>
        </w:rPr>
        <w:t>” means the CEC certified ERR(s), the output from which is used to source the Product sold and purchased hereunder, identified in the Confirmation Letter; provided, however, that the Parties agree and acknowledge that the Product may come from one or more other ERR(s) and that the acceptance of the Product sourced from such other ERR(s) in no way alters the delivery obligation hereunder with respect to the Contract Quantity shown in the Confirmation</w:t>
      </w:r>
      <w:r w:rsidR="00890BDD" w:rsidRPr="00B10778">
        <w:rPr>
          <w:sz w:val="22"/>
          <w:szCs w:val="22"/>
        </w:rPr>
        <w:t xml:space="preserve"> Letter</w:t>
      </w:r>
      <w:r w:rsidRPr="00B10778">
        <w:rPr>
          <w:sz w:val="22"/>
          <w:szCs w:val="22"/>
        </w:rPr>
        <w:t>, and if Seller substitutes the source ERR(s) it will promptly give notice to Buyer</w:t>
      </w:r>
      <w:r w:rsidR="006E0C9E" w:rsidRPr="00B10778">
        <w:rPr>
          <w:sz w:val="22"/>
          <w:szCs w:val="22"/>
        </w:rPr>
        <w:t xml:space="preserve">.  </w:t>
      </w:r>
      <w:r w:rsidR="00C67D5F" w:rsidRPr="00B10778">
        <w:rPr>
          <w:sz w:val="22"/>
          <w:szCs w:val="22"/>
        </w:rPr>
        <w:t xml:space="preserve">Seller </w:t>
      </w:r>
      <w:r w:rsidR="002207AA" w:rsidRPr="00B10778">
        <w:rPr>
          <w:sz w:val="22"/>
          <w:szCs w:val="22"/>
        </w:rPr>
        <w:t xml:space="preserve">is not </w:t>
      </w:r>
      <w:r w:rsidR="00C67D5F" w:rsidRPr="00B10778">
        <w:rPr>
          <w:sz w:val="22"/>
          <w:szCs w:val="22"/>
        </w:rPr>
        <w:t xml:space="preserve">required to </w:t>
      </w:r>
      <w:r w:rsidR="002207AA" w:rsidRPr="00B10778">
        <w:rPr>
          <w:sz w:val="22"/>
          <w:szCs w:val="22"/>
        </w:rPr>
        <w:t xml:space="preserve">deliver </w:t>
      </w:r>
      <w:r w:rsidR="00C67D5F" w:rsidRPr="00B10778">
        <w:rPr>
          <w:sz w:val="22"/>
          <w:szCs w:val="22"/>
        </w:rPr>
        <w:t xml:space="preserve">to Buyer electrical generation </w:t>
      </w:r>
      <w:r w:rsidR="002207AA" w:rsidRPr="00B10778">
        <w:rPr>
          <w:sz w:val="22"/>
          <w:szCs w:val="22"/>
        </w:rPr>
        <w:t xml:space="preserve">directly </w:t>
      </w:r>
      <w:r w:rsidR="00C67D5F" w:rsidRPr="00B10778">
        <w:rPr>
          <w:sz w:val="22"/>
          <w:szCs w:val="22"/>
        </w:rPr>
        <w:t>from the Project</w:t>
      </w:r>
      <w:r w:rsidR="002207AA" w:rsidRPr="00B10778">
        <w:rPr>
          <w:sz w:val="22"/>
          <w:szCs w:val="22"/>
        </w:rPr>
        <w:t>, but may substitute energy</w:t>
      </w:r>
      <w:r w:rsidR="00C67D5F" w:rsidRPr="00B10778">
        <w:rPr>
          <w:sz w:val="22"/>
          <w:szCs w:val="22"/>
        </w:rPr>
        <w:t>.</w:t>
      </w:r>
      <w:r w:rsidRPr="00B10778">
        <w:rPr>
          <w:sz w:val="22"/>
          <w:szCs w:val="22"/>
        </w:rPr>
        <w:t xml:space="preserve">  </w:t>
      </w:r>
      <w:r w:rsidR="009E4767">
        <w:rPr>
          <w:sz w:val="22"/>
          <w:szCs w:val="22"/>
        </w:rPr>
        <w:tab/>
      </w:r>
      <w:r w:rsidR="009E4767">
        <w:rPr>
          <w:sz w:val="22"/>
          <w:szCs w:val="22"/>
        </w:rPr>
        <w:tab/>
      </w:r>
      <w:r w:rsidR="009E4767">
        <w:rPr>
          <w:sz w:val="22"/>
          <w:szCs w:val="22"/>
        </w:rPr>
        <w:tab/>
      </w:r>
      <w:r w:rsidR="009E4767">
        <w:rPr>
          <w:sz w:val="22"/>
          <w:szCs w:val="22"/>
        </w:rPr>
        <w:tab/>
      </w:r>
      <w:r w:rsidR="009E4767">
        <w:rPr>
          <w:sz w:val="22"/>
          <w:szCs w:val="22"/>
        </w:rPr>
        <w:tab/>
      </w:r>
      <w:r w:rsidR="009E4767">
        <w:rPr>
          <w:sz w:val="22"/>
          <w:szCs w:val="22"/>
        </w:rPr>
        <w:tab/>
      </w:r>
      <w:r w:rsidR="009E4767">
        <w:rPr>
          <w:sz w:val="22"/>
          <w:szCs w:val="22"/>
        </w:rPr>
        <w:tab/>
      </w:r>
      <w:r w:rsidR="009E4767">
        <w:rPr>
          <w:sz w:val="22"/>
          <w:szCs w:val="22"/>
        </w:rPr>
        <w:tab/>
      </w:r>
      <w:r w:rsidR="009E4767">
        <w:rPr>
          <w:sz w:val="22"/>
          <w:szCs w:val="22"/>
        </w:rPr>
        <w:tab/>
      </w:r>
      <w:r w:rsidR="009E4767">
        <w:rPr>
          <w:sz w:val="22"/>
          <w:szCs w:val="22"/>
        </w:rPr>
        <w:tab/>
      </w:r>
      <w:r w:rsidR="009E4767">
        <w:rPr>
          <w:sz w:val="22"/>
          <w:szCs w:val="22"/>
        </w:rPr>
        <w:tab/>
      </w:r>
      <w:r w:rsidR="009E4767">
        <w:rPr>
          <w:sz w:val="22"/>
          <w:szCs w:val="22"/>
        </w:rPr>
        <w:tab/>
      </w:r>
      <w:r w:rsidR="009E4767">
        <w:rPr>
          <w:sz w:val="22"/>
          <w:szCs w:val="22"/>
        </w:rPr>
        <w:tab/>
      </w:r>
      <w:r w:rsidR="009E4767">
        <w:rPr>
          <w:sz w:val="22"/>
          <w:szCs w:val="22"/>
        </w:rPr>
        <w:tab/>
      </w:r>
      <w:r w:rsidR="009E4767">
        <w:rPr>
          <w:sz w:val="22"/>
          <w:szCs w:val="22"/>
        </w:rPr>
        <w:tab/>
      </w:r>
      <w:r w:rsidR="009E4767">
        <w:rPr>
          <w:sz w:val="22"/>
          <w:szCs w:val="22"/>
        </w:rPr>
        <w:tab/>
      </w:r>
      <w:r w:rsidR="009E4767">
        <w:rPr>
          <w:sz w:val="22"/>
          <w:szCs w:val="22"/>
        </w:rPr>
        <w:tab/>
      </w:r>
      <w:r w:rsidR="009E4767">
        <w:rPr>
          <w:sz w:val="22"/>
          <w:szCs w:val="22"/>
        </w:rPr>
        <w:tab/>
      </w:r>
      <w:r w:rsidR="009E4767">
        <w:rPr>
          <w:sz w:val="22"/>
          <w:szCs w:val="22"/>
        </w:rPr>
        <w:tab/>
      </w:r>
      <w:r w:rsidR="009E4767">
        <w:rPr>
          <w:sz w:val="22"/>
          <w:szCs w:val="22"/>
        </w:rPr>
        <w:tab/>
      </w:r>
      <w:r w:rsidRPr="00B10778">
        <w:rPr>
          <w:sz w:val="22"/>
          <w:szCs w:val="22"/>
        </w:rPr>
        <w:t>“</w:t>
      </w:r>
      <w:r w:rsidRPr="00B10778">
        <w:rPr>
          <w:b/>
          <w:sz w:val="22"/>
          <w:szCs w:val="22"/>
        </w:rPr>
        <w:t>Renewable Energy Credit</w:t>
      </w:r>
      <w:r w:rsidRPr="00B10778">
        <w:rPr>
          <w:sz w:val="22"/>
          <w:szCs w:val="22"/>
        </w:rPr>
        <w:t>” or “</w:t>
      </w:r>
      <w:r w:rsidRPr="00B10778">
        <w:rPr>
          <w:b/>
          <w:sz w:val="22"/>
          <w:szCs w:val="22"/>
        </w:rPr>
        <w:t>REC</w:t>
      </w:r>
      <w:r w:rsidRPr="00B10778">
        <w:rPr>
          <w:sz w:val="22"/>
          <w:szCs w:val="22"/>
        </w:rPr>
        <w:t>” has the meaning provided in CPUC Decision (D.) 08-08-028, and generally means the right to claim title to Green Attributes attributable to the generation of electric energy from ERRs.  RECs are measured in one megawatt increments and evidenced by the transfer of one WREGIS Certificate.</w:t>
      </w:r>
      <w:r w:rsidR="009E4767">
        <w:rPr>
          <w:sz w:val="22"/>
          <w:szCs w:val="22"/>
        </w:rPr>
        <w:tab/>
      </w:r>
      <w:r w:rsidR="009E4767">
        <w:rPr>
          <w:sz w:val="22"/>
          <w:szCs w:val="22"/>
        </w:rPr>
        <w:tab/>
      </w:r>
      <w:r w:rsidR="009E4767">
        <w:rPr>
          <w:sz w:val="22"/>
          <w:szCs w:val="22"/>
        </w:rPr>
        <w:tab/>
      </w:r>
      <w:r w:rsidR="009E4767">
        <w:rPr>
          <w:sz w:val="22"/>
          <w:szCs w:val="22"/>
        </w:rPr>
        <w:tab/>
      </w:r>
      <w:r w:rsidR="009E4767">
        <w:rPr>
          <w:sz w:val="22"/>
          <w:szCs w:val="22"/>
        </w:rPr>
        <w:tab/>
      </w:r>
      <w:r w:rsidR="009E4767">
        <w:rPr>
          <w:sz w:val="22"/>
          <w:szCs w:val="22"/>
        </w:rPr>
        <w:tab/>
      </w:r>
      <w:r w:rsidR="009E4767">
        <w:rPr>
          <w:sz w:val="22"/>
          <w:szCs w:val="22"/>
        </w:rPr>
        <w:tab/>
      </w:r>
      <w:r w:rsidR="009E4767">
        <w:rPr>
          <w:sz w:val="22"/>
          <w:szCs w:val="22"/>
        </w:rPr>
        <w:tab/>
      </w:r>
      <w:r w:rsidR="009E4767">
        <w:rPr>
          <w:sz w:val="22"/>
          <w:szCs w:val="22"/>
        </w:rPr>
        <w:tab/>
      </w:r>
      <w:r w:rsidR="009E4767">
        <w:rPr>
          <w:sz w:val="22"/>
          <w:szCs w:val="22"/>
        </w:rPr>
        <w:tab/>
      </w:r>
      <w:r w:rsidR="009E4767">
        <w:rPr>
          <w:sz w:val="22"/>
          <w:szCs w:val="22"/>
        </w:rPr>
        <w:tab/>
      </w:r>
      <w:r w:rsidR="009E4767">
        <w:rPr>
          <w:sz w:val="22"/>
          <w:szCs w:val="22"/>
        </w:rPr>
        <w:tab/>
      </w:r>
      <w:r w:rsidR="009E4767">
        <w:rPr>
          <w:sz w:val="22"/>
          <w:szCs w:val="22"/>
        </w:rPr>
        <w:tab/>
      </w:r>
      <w:r w:rsidR="009E4767">
        <w:rPr>
          <w:sz w:val="22"/>
          <w:szCs w:val="22"/>
        </w:rPr>
        <w:tab/>
      </w:r>
      <w:r w:rsidR="009E4767">
        <w:rPr>
          <w:sz w:val="22"/>
          <w:szCs w:val="22"/>
        </w:rPr>
        <w:tab/>
      </w:r>
      <w:r w:rsidR="009E4767">
        <w:rPr>
          <w:sz w:val="22"/>
          <w:szCs w:val="22"/>
        </w:rPr>
        <w:tab/>
      </w:r>
      <w:r w:rsidR="009E4767">
        <w:rPr>
          <w:sz w:val="22"/>
          <w:szCs w:val="22"/>
        </w:rPr>
        <w:tab/>
      </w:r>
      <w:r w:rsidRPr="00B10778">
        <w:rPr>
          <w:sz w:val="22"/>
          <w:szCs w:val="22"/>
        </w:rPr>
        <w:t>“</w:t>
      </w:r>
      <w:r w:rsidRPr="00B10778">
        <w:rPr>
          <w:b/>
          <w:sz w:val="22"/>
          <w:szCs w:val="22"/>
        </w:rPr>
        <w:t>Reporting Year</w:t>
      </w:r>
      <w:r w:rsidRPr="00B10778">
        <w:rPr>
          <w:sz w:val="22"/>
          <w:szCs w:val="22"/>
        </w:rPr>
        <w:t>” means the period beginning January 1 of the period year and continuing until December 31 of the subject year (e.g. Reporting Year 20</w:t>
      </w:r>
      <w:r w:rsidR="00A824DC">
        <w:rPr>
          <w:sz w:val="22"/>
          <w:szCs w:val="22"/>
        </w:rPr>
        <w:t>15</w:t>
      </w:r>
      <w:r w:rsidRPr="00B10778">
        <w:rPr>
          <w:sz w:val="22"/>
          <w:szCs w:val="22"/>
        </w:rPr>
        <w:t xml:space="preserve"> means January 1, 20</w:t>
      </w:r>
      <w:r w:rsidR="00A824DC">
        <w:rPr>
          <w:sz w:val="22"/>
          <w:szCs w:val="22"/>
        </w:rPr>
        <w:t>15</w:t>
      </w:r>
      <w:r w:rsidRPr="00B10778">
        <w:rPr>
          <w:sz w:val="22"/>
          <w:szCs w:val="22"/>
        </w:rPr>
        <w:t xml:space="preserve"> through December 31, 20</w:t>
      </w:r>
      <w:r w:rsidR="00A824DC">
        <w:rPr>
          <w:sz w:val="22"/>
          <w:szCs w:val="22"/>
        </w:rPr>
        <w:t>15</w:t>
      </w:r>
      <w:r w:rsidRPr="00B10778">
        <w:rPr>
          <w:sz w:val="22"/>
          <w:szCs w:val="22"/>
        </w:rPr>
        <w:t>).</w:t>
      </w:r>
    </w:p>
    <w:p w:rsidR="00BC192B" w:rsidRPr="009E4767" w:rsidRDefault="00C03A9E" w:rsidP="009E4767">
      <w:pPr>
        <w:pStyle w:val="Hanging2"/>
        <w:spacing w:after="0"/>
        <w:ind w:left="0" w:firstLine="720"/>
        <w:rPr>
          <w:rFonts w:ascii="Times New Roman" w:hAnsi="Times New Roman"/>
          <w:szCs w:val="22"/>
        </w:rPr>
      </w:pPr>
      <w:r w:rsidRPr="00C03A9E">
        <w:rPr>
          <w:rFonts w:ascii="Times New Roman" w:hAnsi="Times New Roman"/>
          <w:bCs w:val="0"/>
          <w:szCs w:val="22"/>
        </w:rPr>
        <w:t>“</w:t>
      </w:r>
      <w:r w:rsidRPr="00C03A9E">
        <w:rPr>
          <w:rFonts w:ascii="Times New Roman" w:hAnsi="Times New Roman"/>
          <w:b/>
          <w:bCs w:val="0"/>
          <w:szCs w:val="22"/>
        </w:rPr>
        <w:t>Seller Eligibility Default</w:t>
      </w:r>
      <w:r w:rsidRPr="00C03A9E">
        <w:rPr>
          <w:rFonts w:ascii="Times New Roman" w:hAnsi="Times New Roman"/>
          <w:bCs w:val="0"/>
          <w:szCs w:val="22"/>
        </w:rPr>
        <w:t>” means any failure by Seller to meet or satisfy any Eligibility Requirement or element or component thereof which is in the direct control of Seller to meet or satisfy and which arises as a result of or is caused by or attributable to an act or omission of Seller, including a failure to (i) transfer the Product to Buyer using WREGIS or such similar generation information or attributes tracking system as may be approved by or other method of transfer acceptable to the Energy Commission; (ii) match in WREGIS RECs with e-tags created in accordance with</w:t>
      </w:r>
      <w:r w:rsidR="004E2FE5">
        <w:rPr>
          <w:rFonts w:ascii="Times New Roman" w:hAnsi="Times New Roman"/>
          <w:bCs w:val="0"/>
          <w:szCs w:val="22"/>
        </w:rPr>
        <w:t xml:space="preserve"> this Transaction </w:t>
      </w:r>
      <w:r w:rsidRPr="00C03A9E">
        <w:rPr>
          <w:rFonts w:ascii="Times New Roman" w:hAnsi="Times New Roman"/>
          <w:bCs w:val="0"/>
          <w:szCs w:val="22"/>
        </w:rPr>
        <w:t>to the extent required by the CEC for the purpose of verifying the Product; (iii) have the</w:t>
      </w:r>
      <w:r w:rsidR="004E2FE5">
        <w:rPr>
          <w:rFonts w:ascii="Times New Roman" w:hAnsi="Times New Roman"/>
          <w:bCs w:val="0"/>
          <w:szCs w:val="22"/>
        </w:rPr>
        <w:t xml:space="preserve"> Project(s</w:t>
      </w:r>
      <w:r w:rsidR="004E2FE5" w:rsidRPr="004E2FE5">
        <w:rPr>
          <w:rFonts w:ascii="Times New Roman" w:hAnsi="Times New Roman"/>
          <w:bCs w:val="0"/>
          <w:szCs w:val="22"/>
        </w:rPr>
        <w:t xml:space="preserve">) </w:t>
      </w:r>
      <w:r w:rsidRPr="004E2FE5">
        <w:rPr>
          <w:rFonts w:ascii="Times New Roman" w:hAnsi="Times New Roman"/>
          <w:bCs w:val="0"/>
          <w:szCs w:val="22"/>
        </w:rPr>
        <w:t xml:space="preserve">certified (or certified for the Delivery </w:t>
      </w:r>
      <w:r w:rsidR="004E2FE5" w:rsidRPr="004E2FE5">
        <w:rPr>
          <w:rFonts w:ascii="Times New Roman" w:hAnsi="Times New Roman"/>
          <w:bCs w:val="0"/>
          <w:szCs w:val="22"/>
        </w:rPr>
        <w:t xml:space="preserve">Term) </w:t>
      </w:r>
      <w:r w:rsidRPr="004E2FE5">
        <w:rPr>
          <w:rFonts w:ascii="Times New Roman" w:hAnsi="Times New Roman"/>
          <w:bCs w:val="0"/>
          <w:szCs w:val="22"/>
        </w:rPr>
        <w:t>as an eligible renewable resource for the California RPS Program; (iv)   simultaneously purchase</w:t>
      </w:r>
      <w:r w:rsidRPr="00C03A9E">
        <w:rPr>
          <w:rFonts w:ascii="Times New Roman" w:hAnsi="Times New Roman"/>
          <w:bCs w:val="0"/>
          <w:szCs w:val="22"/>
        </w:rPr>
        <w:t xml:space="preserve"> the Project Energy and associated Green Attributes generated by the Project during the </w:t>
      </w:r>
      <w:r w:rsidR="004E2FE5">
        <w:rPr>
          <w:rFonts w:ascii="Times New Roman" w:hAnsi="Times New Roman"/>
          <w:bCs w:val="0"/>
          <w:szCs w:val="22"/>
        </w:rPr>
        <w:t xml:space="preserve">REC </w:t>
      </w:r>
      <w:r w:rsidRPr="00C03A9E">
        <w:rPr>
          <w:rFonts w:ascii="Times New Roman" w:hAnsi="Times New Roman"/>
          <w:bCs w:val="0"/>
          <w:szCs w:val="22"/>
        </w:rPr>
        <w:t xml:space="preserve">Generation Period without selling the energy back to the generator; (v) schedule </w:t>
      </w:r>
      <w:r w:rsidR="00BC02B1">
        <w:rPr>
          <w:rFonts w:ascii="Times New Roman" w:hAnsi="Times New Roman"/>
          <w:bCs w:val="0"/>
          <w:szCs w:val="22"/>
        </w:rPr>
        <w:t>Incremental Electricity</w:t>
      </w:r>
      <w:r w:rsidRPr="00C03A9E">
        <w:rPr>
          <w:rFonts w:ascii="Times New Roman" w:hAnsi="Times New Roman"/>
          <w:bCs w:val="0"/>
          <w:szCs w:val="22"/>
        </w:rPr>
        <w:t xml:space="preserve"> into the CAISO Balancing Authority in an amount equal to the Contract Quantity during the </w:t>
      </w:r>
      <w:r w:rsidR="004E2FE5">
        <w:rPr>
          <w:rFonts w:ascii="Times New Roman" w:hAnsi="Times New Roman"/>
          <w:bCs w:val="0"/>
          <w:szCs w:val="22"/>
        </w:rPr>
        <w:t xml:space="preserve">REC </w:t>
      </w:r>
      <w:r w:rsidRPr="00C03A9E">
        <w:rPr>
          <w:rFonts w:ascii="Times New Roman" w:hAnsi="Times New Roman"/>
          <w:bCs w:val="0"/>
          <w:szCs w:val="22"/>
        </w:rPr>
        <w:t xml:space="preserve">Generation Period; or (vi) not commit or sell to a third party the </w:t>
      </w:r>
      <w:r w:rsidR="00BC02B1">
        <w:rPr>
          <w:rFonts w:ascii="Times New Roman" w:hAnsi="Times New Roman"/>
          <w:bCs w:val="0"/>
          <w:szCs w:val="22"/>
        </w:rPr>
        <w:t>Incremental Electricity</w:t>
      </w:r>
      <w:r w:rsidRPr="00C03A9E">
        <w:rPr>
          <w:rFonts w:ascii="Times New Roman" w:hAnsi="Times New Roman"/>
          <w:bCs w:val="0"/>
          <w:szCs w:val="22"/>
        </w:rPr>
        <w:t xml:space="preserve"> delivered under this Transaction.  It shall not be a Seller Eligibility Default if an applicable governmental or regulatory authority having jurisdiction determines that Product delivered or to be delivered under and accordance with the terms of this Transaction does not or will not meet or satisfy the Eligibility Requirements.</w:t>
      </w:r>
      <w:r w:rsidR="009E4767">
        <w:rPr>
          <w:rFonts w:ascii="Times New Roman" w:hAnsi="Times New Roman"/>
          <w:bCs w:val="0"/>
          <w:szCs w:val="22"/>
        </w:rPr>
        <w:tab/>
      </w:r>
      <w:r w:rsidR="009E4767">
        <w:rPr>
          <w:rFonts w:ascii="Times New Roman" w:hAnsi="Times New Roman"/>
          <w:bCs w:val="0"/>
          <w:szCs w:val="22"/>
        </w:rPr>
        <w:tab/>
      </w:r>
      <w:r w:rsidR="009E4767">
        <w:rPr>
          <w:rFonts w:ascii="Times New Roman" w:hAnsi="Times New Roman"/>
          <w:bCs w:val="0"/>
          <w:szCs w:val="22"/>
        </w:rPr>
        <w:tab/>
      </w:r>
      <w:r w:rsidR="009E4767">
        <w:rPr>
          <w:rFonts w:ascii="Times New Roman" w:hAnsi="Times New Roman"/>
          <w:bCs w:val="0"/>
          <w:szCs w:val="22"/>
        </w:rPr>
        <w:tab/>
      </w:r>
      <w:r w:rsidR="009E4767">
        <w:rPr>
          <w:rFonts w:ascii="Times New Roman" w:hAnsi="Times New Roman"/>
          <w:bCs w:val="0"/>
          <w:szCs w:val="22"/>
        </w:rPr>
        <w:tab/>
      </w:r>
      <w:r w:rsidR="009E4767">
        <w:rPr>
          <w:rFonts w:ascii="Times New Roman" w:hAnsi="Times New Roman"/>
          <w:bCs w:val="0"/>
          <w:szCs w:val="22"/>
        </w:rPr>
        <w:tab/>
      </w:r>
      <w:r w:rsidR="009E4767">
        <w:rPr>
          <w:rFonts w:ascii="Times New Roman" w:hAnsi="Times New Roman"/>
          <w:bCs w:val="0"/>
          <w:szCs w:val="22"/>
        </w:rPr>
        <w:tab/>
      </w:r>
      <w:r w:rsidR="009E4767">
        <w:rPr>
          <w:rFonts w:ascii="Times New Roman" w:hAnsi="Times New Roman"/>
          <w:bCs w:val="0"/>
          <w:szCs w:val="22"/>
        </w:rPr>
        <w:tab/>
      </w:r>
      <w:r w:rsidR="009E4767">
        <w:rPr>
          <w:rFonts w:ascii="Times New Roman" w:hAnsi="Times New Roman"/>
          <w:bCs w:val="0"/>
          <w:szCs w:val="22"/>
        </w:rPr>
        <w:tab/>
      </w:r>
      <w:r w:rsidR="009E4767" w:rsidRPr="009E4767">
        <w:rPr>
          <w:rFonts w:ascii="Times New Roman" w:hAnsi="Times New Roman"/>
          <w:bCs w:val="0"/>
          <w:szCs w:val="22"/>
        </w:rPr>
        <w:tab/>
      </w:r>
      <w:r w:rsidR="009E4767" w:rsidRPr="009E4767">
        <w:rPr>
          <w:rFonts w:ascii="Times New Roman" w:hAnsi="Times New Roman"/>
          <w:bCs w:val="0"/>
          <w:szCs w:val="22"/>
        </w:rPr>
        <w:tab/>
      </w:r>
      <w:r w:rsidR="009E4767" w:rsidRPr="009E4767">
        <w:rPr>
          <w:rFonts w:ascii="Times New Roman" w:hAnsi="Times New Roman"/>
          <w:bCs w:val="0"/>
          <w:szCs w:val="22"/>
        </w:rPr>
        <w:tab/>
      </w:r>
      <w:r w:rsidR="009E4767" w:rsidRPr="009E4767">
        <w:rPr>
          <w:rFonts w:ascii="Times New Roman" w:hAnsi="Times New Roman"/>
          <w:bCs w:val="0"/>
          <w:szCs w:val="22"/>
        </w:rPr>
        <w:tab/>
      </w:r>
      <w:r w:rsidR="009E4767" w:rsidRPr="009E4767">
        <w:rPr>
          <w:rFonts w:ascii="Times New Roman" w:hAnsi="Times New Roman"/>
          <w:bCs w:val="0"/>
          <w:szCs w:val="22"/>
        </w:rPr>
        <w:tab/>
      </w:r>
      <w:r w:rsidR="009E4767" w:rsidRPr="009E4767">
        <w:rPr>
          <w:rFonts w:ascii="Times New Roman" w:hAnsi="Times New Roman"/>
          <w:bCs w:val="0"/>
          <w:szCs w:val="22"/>
        </w:rPr>
        <w:tab/>
      </w:r>
      <w:r w:rsidR="009E4767" w:rsidRPr="009E4767">
        <w:rPr>
          <w:rFonts w:ascii="Times New Roman" w:hAnsi="Times New Roman"/>
          <w:bCs w:val="0"/>
          <w:szCs w:val="22"/>
        </w:rPr>
        <w:tab/>
      </w:r>
      <w:r w:rsidR="009E4767" w:rsidRPr="009E4767">
        <w:rPr>
          <w:rFonts w:ascii="Times New Roman" w:hAnsi="Times New Roman"/>
          <w:bCs w:val="0"/>
          <w:szCs w:val="22"/>
        </w:rPr>
        <w:tab/>
      </w:r>
      <w:r w:rsidR="009E4767" w:rsidRPr="009E4767">
        <w:rPr>
          <w:rFonts w:ascii="Times New Roman" w:hAnsi="Times New Roman"/>
          <w:bCs w:val="0"/>
          <w:szCs w:val="22"/>
        </w:rPr>
        <w:tab/>
      </w:r>
      <w:r w:rsidR="009E4767" w:rsidRPr="009E4767">
        <w:rPr>
          <w:rFonts w:ascii="Times New Roman" w:hAnsi="Times New Roman"/>
          <w:bCs w:val="0"/>
          <w:szCs w:val="22"/>
        </w:rPr>
        <w:tab/>
      </w:r>
      <w:r w:rsidR="009E4767" w:rsidRPr="009E4767">
        <w:rPr>
          <w:rFonts w:ascii="Times New Roman" w:hAnsi="Times New Roman"/>
          <w:bCs w:val="0"/>
          <w:szCs w:val="22"/>
        </w:rPr>
        <w:tab/>
      </w:r>
      <w:r w:rsidR="009E4767" w:rsidRPr="009E4767">
        <w:rPr>
          <w:rFonts w:ascii="Times New Roman" w:hAnsi="Times New Roman"/>
          <w:bCs w:val="0"/>
          <w:szCs w:val="22"/>
        </w:rPr>
        <w:tab/>
      </w:r>
      <w:r w:rsidR="00BC192B" w:rsidRPr="009E4767">
        <w:rPr>
          <w:rFonts w:ascii="Times New Roman" w:hAnsi="Times New Roman"/>
          <w:szCs w:val="22"/>
        </w:rPr>
        <w:t>“</w:t>
      </w:r>
      <w:r w:rsidR="00BC192B" w:rsidRPr="009E4767">
        <w:rPr>
          <w:rFonts w:ascii="Times New Roman" w:hAnsi="Times New Roman"/>
          <w:b/>
          <w:szCs w:val="22"/>
        </w:rPr>
        <w:t>STC</w:t>
      </w:r>
      <w:r w:rsidR="00BC192B" w:rsidRPr="009E4767">
        <w:rPr>
          <w:rFonts w:ascii="Times New Roman" w:hAnsi="Times New Roman"/>
          <w:szCs w:val="22"/>
        </w:rPr>
        <w:t xml:space="preserve">” means the standard terms and conditions adopted by the CPUC to be incorporated into California RPS agreements.  </w:t>
      </w:r>
      <w:r w:rsidR="009E4767" w:rsidRPr="009E4767">
        <w:rPr>
          <w:rFonts w:ascii="Times New Roman" w:hAnsi="Times New Roman"/>
          <w:szCs w:val="22"/>
        </w:rPr>
        <w:tab/>
      </w:r>
      <w:r w:rsidR="009E4767" w:rsidRPr="009E4767">
        <w:rPr>
          <w:rFonts w:ascii="Times New Roman" w:hAnsi="Times New Roman"/>
          <w:szCs w:val="22"/>
        </w:rPr>
        <w:tab/>
      </w:r>
      <w:r w:rsidR="009E4767" w:rsidRPr="009E4767">
        <w:rPr>
          <w:rFonts w:ascii="Times New Roman" w:hAnsi="Times New Roman"/>
          <w:szCs w:val="22"/>
        </w:rPr>
        <w:tab/>
      </w:r>
      <w:r w:rsidR="009E4767" w:rsidRPr="009E4767">
        <w:rPr>
          <w:rFonts w:ascii="Times New Roman" w:hAnsi="Times New Roman"/>
          <w:szCs w:val="22"/>
        </w:rPr>
        <w:tab/>
      </w:r>
      <w:r w:rsidR="009E4767" w:rsidRPr="009E4767">
        <w:rPr>
          <w:rFonts w:ascii="Times New Roman" w:hAnsi="Times New Roman"/>
          <w:szCs w:val="22"/>
        </w:rPr>
        <w:tab/>
      </w:r>
      <w:r w:rsidR="009E4767" w:rsidRPr="009E4767">
        <w:rPr>
          <w:rFonts w:ascii="Times New Roman" w:hAnsi="Times New Roman"/>
          <w:szCs w:val="22"/>
        </w:rPr>
        <w:tab/>
      </w:r>
      <w:r w:rsidR="009E4767" w:rsidRPr="009E4767">
        <w:rPr>
          <w:rFonts w:ascii="Times New Roman" w:hAnsi="Times New Roman"/>
          <w:szCs w:val="22"/>
        </w:rPr>
        <w:tab/>
      </w:r>
      <w:r w:rsidR="009E4767" w:rsidRPr="009E4767">
        <w:rPr>
          <w:rFonts w:ascii="Times New Roman" w:hAnsi="Times New Roman"/>
          <w:szCs w:val="22"/>
        </w:rPr>
        <w:tab/>
      </w:r>
      <w:r w:rsidR="009E4767" w:rsidRPr="009E4767">
        <w:rPr>
          <w:rFonts w:ascii="Times New Roman" w:hAnsi="Times New Roman"/>
          <w:szCs w:val="22"/>
        </w:rPr>
        <w:tab/>
      </w:r>
      <w:r w:rsidR="009E4767" w:rsidRPr="009E4767">
        <w:rPr>
          <w:rFonts w:ascii="Times New Roman" w:hAnsi="Times New Roman"/>
          <w:szCs w:val="22"/>
        </w:rPr>
        <w:tab/>
      </w:r>
      <w:r w:rsidR="009E4767" w:rsidRPr="009E4767">
        <w:rPr>
          <w:rFonts w:ascii="Times New Roman" w:hAnsi="Times New Roman"/>
          <w:szCs w:val="22"/>
        </w:rPr>
        <w:tab/>
      </w:r>
      <w:r w:rsidR="009E4767" w:rsidRPr="009E4767">
        <w:rPr>
          <w:rFonts w:ascii="Times New Roman" w:hAnsi="Times New Roman"/>
          <w:szCs w:val="22"/>
        </w:rPr>
        <w:tab/>
      </w:r>
      <w:r w:rsidR="009E4767" w:rsidRPr="009E4767">
        <w:rPr>
          <w:rFonts w:ascii="Times New Roman" w:hAnsi="Times New Roman"/>
          <w:szCs w:val="22"/>
        </w:rPr>
        <w:tab/>
      </w:r>
      <w:r w:rsidR="009E4767" w:rsidRPr="009E4767">
        <w:rPr>
          <w:rFonts w:ascii="Times New Roman" w:hAnsi="Times New Roman"/>
          <w:szCs w:val="22"/>
        </w:rPr>
        <w:tab/>
      </w:r>
      <w:r w:rsidR="009E4767" w:rsidRPr="009E4767">
        <w:rPr>
          <w:rFonts w:ascii="Times New Roman" w:hAnsi="Times New Roman"/>
          <w:szCs w:val="22"/>
        </w:rPr>
        <w:tab/>
      </w:r>
      <w:r w:rsidR="009E4767" w:rsidRPr="009E4767">
        <w:rPr>
          <w:rFonts w:ascii="Times New Roman" w:hAnsi="Times New Roman"/>
          <w:szCs w:val="22"/>
        </w:rPr>
        <w:tab/>
      </w:r>
      <w:r w:rsidR="009E4767" w:rsidRPr="009E4767">
        <w:rPr>
          <w:rFonts w:ascii="Times New Roman" w:hAnsi="Times New Roman"/>
          <w:szCs w:val="22"/>
        </w:rPr>
        <w:tab/>
      </w:r>
      <w:r w:rsidR="009E4767">
        <w:rPr>
          <w:rFonts w:ascii="Times New Roman" w:hAnsi="Times New Roman"/>
          <w:szCs w:val="22"/>
        </w:rPr>
        <w:tab/>
      </w:r>
      <w:r w:rsidR="009E4767">
        <w:rPr>
          <w:rFonts w:ascii="Times New Roman" w:hAnsi="Times New Roman"/>
          <w:szCs w:val="22"/>
        </w:rPr>
        <w:tab/>
      </w:r>
      <w:r w:rsidR="00BC192B" w:rsidRPr="009E4767">
        <w:rPr>
          <w:rFonts w:ascii="Times New Roman" w:hAnsi="Times New Roman"/>
          <w:szCs w:val="22"/>
        </w:rPr>
        <w:t>“</w:t>
      </w:r>
      <w:r w:rsidR="00BC192B" w:rsidRPr="009E4767">
        <w:rPr>
          <w:rFonts w:ascii="Times New Roman" w:hAnsi="Times New Roman"/>
          <w:b/>
          <w:szCs w:val="22"/>
        </w:rPr>
        <w:t>WREGIS</w:t>
      </w:r>
      <w:r w:rsidR="00BC192B" w:rsidRPr="009E4767">
        <w:rPr>
          <w:rFonts w:ascii="Times New Roman" w:hAnsi="Times New Roman"/>
          <w:szCs w:val="22"/>
        </w:rPr>
        <w:t>” means the environmental registry and information system, which is administered by Western Renewable Energy Generation Information System that tracks the</w:t>
      </w:r>
      <w:r w:rsidR="00BC192B" w:rsidRPr="00B10778">
        <w:rPr>
          <w:szCs w:val="22"/>
        </w:rPr>
        <w:t xml:space="preserve"> </w:t>
      </w:r>
      <w:r w:rsidR="00BC192B" w:rsidRPr="009E4767">
        <w:rPr>
          <w:rFonts w:ascii="Times New Roman" w:hAnsi="Times New Roman"/>
          <w:szCs w:val="22"/>
        </w:rPr>
        <w:t xml:space="preserve">environmental and fuel attributes of generation, and any successor tracking system that both Parties agree in their reasonable commercial judgment facilitates the sale and purchase of Product and is approved by the CEC for use in the California RPS program. </w:t>
      </w:r>
    </w:p>
    <w:p w:rsidR="00BC192B" w:rsidRPr="00B10778" w:rsidRDefault="00BC192B" w:rsidP="00BC192B">
      <w:pPr>
        <w:ind w:firstLine="720"/>
        <w:jc w:val="both"/>
        <w:rPr>
          <w:sz w:val="22"/>
          <w:szCs w:val="22"/>
        </w:rPr>
      </w:pPr>
    </w:p>
    <w:p w:rsidR="00BC192B" w:rsidRPr="00B10778" w:rsidRDefault="00BC192B" w:rsidP="00BC192B">
      <w:pPr>
        <w:ind w:firstLine="720"/>
        <w:jc w:val="both"/>
        <w:rPr>
          <w:sz w:val="22"/>
          <w:szCs w:val="22"/>
        </w:rPr>
      </w:pPr>
      <w:r w:rsidRPr="00B10778">
        <w:rPr>
          <w:sz w:val="22"/>
          <w:szCs w:val="22"/>
        </w:rPr>
        <w:t>“</w:t>
      </w:r>
      <w:r w:rsidRPr="00B10778">
        <w:rPr>
          <w:b/>
          <w:sz w:val="22"/>
          <w:szCs w:val="22"/>
        </w:rPr>
        <w:t>WREGIS Certificate</w:t>
      </w:r>
      <w:r w:rsidRPr="00B10778">
        <w:rPr>
          <w:sz w:val="22"/>
          <w:szCs w:val="22"/>
        </w:rPr>
        <w:t>” means “Certificate” as defined by WREGIS in the WREGIS Operating Rules.</w:t>
      </w:r>
    </w:p>
    <w:p w:rsidR="00BC192B" w:rsidRPr="00B10778" w:rsidRDefault="00BC192B" w:rsidP="00BC192B">
      <w:pPr>
        <w:ind w:firstLine="720"/>
        <w:jc w:val="both"/>
        <w:rPr>
          <w:sz w:val="22"/>
          <w:szCs w:val="22"/>
        </w:rPr>
      </w:pPr>
    </w:p>
    <w:p w:rsidR="00BC192B" w:rsidRPr="00B10778" w:rsidRDefault="00BC192B" w:rsidP="00BC192B">
      <w:pPr>
        <w:ind w:firstLine="720"/>
        <w:jc w:val="both"/>
        <w:rPr>
          <w:sz w:val="22"/>
          <w:szCs w:val="22"/>
        </w:rPr>
      </w:pPr>
      <w:r w:rsidRPr="00B10778">
        <w:rPr>
          <w:sz w:val="22"/>
          <w:szCs w:val="22"/>
        </w:rPr>
        <w:t>“</w:t>
      </w:r>
      <w:r w:rsidRPr="00B10778">
        <w:rPr>
          <w:b/>
          <w:sz w:val="22"/>
          <w:szCs w:val="22"/>
        </w:rPr>
        <w:t>WREGIS Operating Rules</w:t>
      </w:r>
      <w:r w:rsidRPr="00B10778">
        <w:rPr>
          <w:sz w:val="22"/>
          <w:szCs w:val="22"/>
        </w:rPr>
        <w:t>” means the operating rules and requirements adopted by WREGIS.</w:t>
      </w:r>
    </w:p>
    <w:p w:rsidR="00BC192B" w:rsidRPr="00B10778" w:rsidRDefault="00BC192B" w:rsidP="00BC192B">
      <w:pPr>
        <w:ind w:firstLine="720"/>
        <w:jc w:val="both"/>
        <w:rPr>
          <w:sz w:val="22"/>
          <w:szCs w:val="22"/>
        </w:rPr>
      </w:pPr>
    </w:p>
    <w:p w:rsidR="00BC192B" w:rsidRPr="00B10778" w:rsidRDefault="00BC192B" w:rsidP="00BC192B">
      <w:pPr>
        <w:jc w:val="both"/>
        <w:rPr>
          <w:sz w:val="22"/>
          <w:szCs w:val="22"/>
        </w:rPr>
      </w:pPr>
      <w:bookmarkStart w:id="1" w:name="OLE_LINK3"/>
      <w:bookmarkStart w:id="2" w:name="OLE_LINK4"/>
      <w:r w:rsidRPr="00B10778">
        <w:rPr>
          <w:b/>
          <w:sz w:val="22"/>
          <w:szCs w:val="22"/>
        </w:rPr>
        <w:t>2</w:t>
      </w:r>
      <w:r w:rsidR="00B10778">
        <w:rPr>
          <w:sz w:val="22"/>
          <w:szCs w:val="22"/>
        </w:rPr>
        <w:t>.</w:t>
      </w:r>
      <w:r w:rsidRPr="00B10778">
        <w:rPr>
          <w:sz w:val="22"/>
          <w:szCs w:val="22"/>
        </w:rPr>
        <w:tab/>
      </w:r>
      <w:r w:rsidR="00C35D32" w:rsidRPr="00B10778">
        <w:rPr>
          <w:b/>
          <w:sz w:val="22"/>
          <w:szCs w:val="22"/>
        </w:rPr>
        <w:t>REPRESENTATIONS AND WARRANTIES OF SELLER</w:t>
      </w:r>
      <w:r w:rsidRPr="00B10778">
        <w:rPr>
          <w:sz w:val="22"/>
          <w:szCs w:val="22"/>
        </w:rPr>
        <w:t xml:space="preserve">  </w:t>
      </w:r>
    </w:p>
    <w:p w:rsidR="00BC192B" w:rsidRPr="00B10778" w:rsidRDefault="00BC192B" w:rsidP="00BC192B">
      <w:pPr>
        <w:jc w:val="both"/>
        <w:rPr>
          <w:sz w:val="22"/>
          <w:szCs w:val="22"/>
        </w:rPr>
      </w:pPr>
    </w:p>
    <w:bookmarkEnd w:id="1"/>
    <w:bookmarkEnd w:id="2"/>
    <w:p w:rsidR="002501E5" w:rsidRPr="00B10778" w:rsidRDefault="002501E5" w:rsidP="002501E5">
      <w:pPr>
        <w:jc w:val="both"/>
        <w:rPr>
          <w:sz w:val="22"/>
          <w:szCs w:val="22"/>
        </w:rPr>
      </w:pPr>
      <w:r w:rsidRPr="002501E5">
        <w:rPr>
          <w:sz w:val="22"/>
          <w:szCs w:val="22"/>
        </w:rPr>
        <w:t>2.1</w:t>
      </w:r>
      <w:r w:rsidRPr="002501E5">
        <w:rPr>
          <w:sz w:val="22"/>
          <w:szCs w:val="22"/>
        </w:rPr>
        <w:tab/>
      </w:r>
      <w:r w:rsidRPr="00B10778">
        <w:rPr>
          <w:sz w:val="22"/>
          <w:szCs w:val="22"/>
          <w:u w:val="single"/>
        </w:rPr>
        <w:t>Green Attributes</w:t>
      </w:r>
      <w:r w:rsidRPr="00B10778">
        <w:rPr>
          <w:sz w:val="22"/>
          <w:szCs w:val="22"/>
        </w:rPr>
        <w:t xml:space="preserve">.  Seller hereby provides and conveys </w:t>
      </w:r>
      <w:r w:rsidR="00405CC5">
        <w:rPr>
          <w:sz w:val="22"/>
          <w:szCs w:val="22"/>
        </w:rPr>
        <w:t xml:space="preserve">on a unit contingent basis </w:t>
      </w:r>
      <w:r w:rsidRPr="00B10778">
        <w:rPr>
          <w:sz w:val="22"/>
          <w:szCs w:val="22"/>
        </w:rPr>
        <w:t xml:space="preserve">all Green Attributes associated with all electricity generation from the Project to Buyer as part of the Product being delivered. Seller represents and warrants that Seller holds the rights to all Green Attributes from the Project, and Seller agrees to convey and hereby conveys all such Green Attributes to Buyer as included in the delivery of the Product from the Project.  </w:t>
      </w:r>
      <w:r w:rsidRPr="00F40DBB">
        <w:rPr>
          <w:sz w:val="22"/>
          <w:szCs w:val="22"/>
        </w:rPr>
        <w:t>[STC-</w:t>
      </w:r>
      <w:r>
        <w:rPr>
          <w:sz w:val="22"/>
          <w:szCs w:val="22"/>
        </w:rPr>
        <w:t>2</w:t>
      </w:r>
      <w:r w:rsidRPr="00F40DBB">
        <w:rPr>
          <w:sz w:val="22"/>
          <w:szCs w:val="22"/>
        </w:rPr>
        <w:t>]</w:t>
      </w:r>
    </w:p>
    <w:p w:rsidR="002501E5" w:rsidRDefault="002501E5" w:rsidP="00BC192B">
      <w:pPr>
        <w:ind w:firstLine="720"/>
        <w:jc w:val="both"/>
        <w:rPr>
          <w:sz w:val="22"/>
          <w:szCs w:val="22"/>
        </w:rPr>
      </w:pPr>
    </w:p>
    <w:p w:rsidR="002501E5" w:rsidRPr="00B10778" w:rsidRDefault="002501E5" w:rsidP="002501E5">
      <w:pPr>
        <w:jc w:val="both"/>
        <w:rPr>
          <w:sz w:val="22"/>
          <w:szCs w:val="22"/>
        </w:rPr>
      </w:pPr>
      <w:r>
        <w:rPr>
          <w:sz w:val="22"/>
          <w:szCs w:val="22"/>
        </w:rPr>
        <w:t>2.2</w:t>
      </w:r>
      <w:r>
        <w:rPr>
          <w:sz w:val="22"/>
          <w:szCs w:val="22"/>
        </w:rPr>
        <w:tab/>
      </w:r>
      <w:r w:rsidRPr="002501E5">
        <w:rPr>
          <w:sz w:val="22"/>
          <w:szCs w:val="22"/>
          <w:u w:val="single"/>
        </w:rPr>
        <w:t>Further Representations of Seller</w:t>
      </w:r>
      <w:r>
        <w:rPr>
          <w:sz w:val="22"/>
          <w:szCs w:val="22"/>
        </w:rPr>
        <w:t xml:space="preserve">.  </w:t>
      </w:r>
      <w:r w:rsidRPr="00B10778">
        <w:rPr>
          <w:sz w:val="22"/>
          <w:szCs w:val="22"/>
        </w:rPr>
        <w:t>Seller hereby represents and warrants to Buyer that</w:t>
      </w:r>
    </w:p>
    <w:p w:rsidR="002501E5" w:rsidRPr="00B10778" w:rsidRDefault="002501E5" w:rsidP="002501E5">
      <w:pPr>
        <w:jc w:val="both"/>
        <w:rPr>
          <w:sz w:val="22"/>
          <w:szCs w:val="22"/>
        </w:rPr>
      </w:pPr>
    </w:p>
    <w:p w:rsidR="002501E5" w:rsidRPr="00B10778" w:rsidRDefault="00A824DC" w:rsidP="002501E5">
      <w:pPr>
        <w:numPr>
          <w:ilvl w:val="0"/>
          <w:numId w:val="1"/>
        </w:numPr>
        <w:jc w:val="both"/>
        <w:rPr>
          <w:sz w:val="22"/>
          <w:szCs w:val="22"/>
        </w:rPr>
      </w:pPr>
      <w:r>
        <w:rPr>
          <w:sz w:val="22"/>
          <w:szCs w:val="22"/>
        </w:rPr>
        <w:t>Seller</w:t>
      </w:r>
      <w:r w:rsidR="002501E5" w:rsidRPr="00B10778">
        <w:rPr>
          <w:sz w:val="22"/>
          <w:szCs w:val="22"/>
        </w:rPr>
        <w:t xml:space="preserve"> has the right to sell the Product;</w:t>
      </w:r>
    </w:p>
    <w:p w:rsidR="002501E5" w:rsidRPr="00B10778" w:rsidRDefault="002501E5" w:rsidP="002501E5">
      <w:pPr>
        <w:ind w:left="720" w:firstLine="720"/>
        <w:jc w:val="both"/>
        <w:rPr>
          <w:sz w:val="22"/>
          <w:szCs w:val="22"/>
        </w:rPr>
      </w:pPr>
    </w:p>
    <w:p w:rsidR="002501E5" w:rsidRPr="00B10778" w:rsidRDefault="002501E5" w:rsidP="002501E5">
      <w:pPr>
        <w:ind w:left="1440" w:hanging="720"/>
        <w:jc w:val="both"/>
        <w:rPr>
          <w:sz w:val="22"/>
          <w:szCs w:val="22"/>
        </w:rPr>
      </w:pPr>
      <w:r w:rsidRPr="00B10778">
        <w:rPr>
          <w:sz w:val="22"/>
          <w:szCs w:val="22"/>
        </w:rPr>
        <w:t>(b)</w:t>
      </w:r>
      <w:r w:rsidRPr="00B10778">
        <w:rPr>
          <w:sz w:val="22"/>
          <w:szCs w:val="22"/>
        </w:rPr>
        <w:tab/>
        <w:t>the Product has never been sold or committed to any other entity for any other purpose or use; and</w:t>
      </w:r>
    </w:p>
    <w:p w:rsidR="002501E5" w:rsidRPr="00B10778" w:rsidRDefault="002501E5" w:rsidP="002501E5">
      <w:pPr>
        <w:ind w:left="720" w:firstLine="720"/>
        <w:jc w:val="both"/>
        <w:rPr>
          <w:sz w:val="22"/>
          <w:szCs w:val="22"/>
        </w:rPr>
      </w:pPr>
    </w:p>
    <w:p w:rsidR="002501E5" w:rsidRPr="00B10778" w:rsidRDefault="002501E5" w:rsidP="002501E5">
      <w:pPr>
        <w:ind w:firstLine="720"/>
        <w:jc w:val="both"/>
        <w:rPr>
          <w:sz w:val="22"/>
          <w:szCs w:val="22"/>
        </w:rPr>
      </w:pPr>
      <w:r w:rsidRPr="00B10778">
        <w:rPr>
          <w:sz w:val="22"/>
          <w:szCs w:val="22"/>
        </w:rPr>
        <w:t>(c)</w:t>
      </w:r>
      <w:r w:rsidRPr="00B10778">
        <w:rPr>
          <w:sz w:val="22"/>
          <w:szCs w:val="22"/>
        </w:rPr>
        <w:tab/>
        <w:t>the Product is free and clear of all liens or other encumbrances</w:t>
      </w:r>
      <w:r w:rsidR="00A824DC">
        <w:rPr>
          <w:sz w:val="22"/>
          <w:szCs w:val="22"/>
        </w:rPr>
        <w:t>.</w:t>
      </w:r>
    </w:p>
    <w:p w:rsidR="00BC192B" w:rsidRPr="00B10778" w:rsidRDefault="00BC192B" w:rsidP="00BC192B">
      <w:pPr>
        <w:jc w:val="both"/>
        <w:rPr>
          <w:sz w:val="22"/>
          <w:szCs w:val="22"/>
        </w:rPr>
      </w:pPr>
    </w:p>
    <w:p w:rsidR="00A740C1" w:rsidRDefault="00A740C1" w:rsidP="00BC192B">
      <w:pPr>
        <w:jc w:val="both"/>
        <w:rPr>
          <w:b/>
          <w:sz w:val="22"/>
          <w:szCs w:val="22"/>
        </w:rPr>
      </w:pPr>
    </w:p>
    <w:p w:rsidR="00BC192B" w:rsidRPr="00B10778" w:rsidRDefault="00BC192B" w:rsidP="00BC192B">
      <w:pPr>
        <w:jc w:val="both"/>
        <w:rPr>
          <w:b/>
          <w:sz w:val="22"/>
          <w:szCs w:val="22"/>
        </w:rPr>
      </w:pPr>
      <w:r w:rsidRPr="00B10778">
        <w:rPr>
          <w:b/>
          <w:sz w:val="22"/>
          <w:szCs w:val="22"/>
        </w:rPr>
        <w:t>3</w:t>
      </w:r>
      <w:r w:rsidR="00C35D32" w:rsidRPr="00B10778">
        <w:rPr>
          <w:sz w:val="22"/>
          <w:szCs w:val="22"/>
        </w:rPr>
        <w:t>.</w:t>
      </w:r>
      <w:r w:rsidRPr="00B10778">
        <w:rPr>
          <w:sz w:val="22"/>
          <w:szCs w:val="22"/>
        </w:rPr>
        <w:tab/>
      </w:r>
      <w:r w:rsidRPr="00B10778">
        <w:rPr>
          <w:b/>
          <w:sz w:val="22"/>
          <w:szCs w:val="22"/>
        </w:rPr>
        <w:t>ELIGIBILITY</w:t>
      </w:r>
      <w:r w:rsidR="00BD20E8">
        <w:rPr>
          <w:b/>
          <w:sz w:val="22"/>
          <w:szCs w:val="22"/>
        </w:rPr>
        <w:t xml:space="preserve"> REQUIREMENTS</w:t>
      </w:r>
    </w:p>
    <w:p w:rsidR="00BC192B" w:rsidRPr="00B10778" w:rsidRDefault="00BC192B" w:rsidP="00BC192B">
      <w:pPr>
        <w:jc w:val="both"/>
        <w:rPr>
          <w:b/>
          <w:sz w:val="22"/>
          <w:szCs w:val="22"/>
        </w:rPr>
      </w:pPr>
    </w:p>
    <w:p w:rsidR="00D82D9F" w:rsidRDefault="00BC192B" w:rsidP="00BC192B">
      <w:pPr>
        <w:jc w:val="both"/>
        <w:rPr>
          <w:sz w:val="22"/>
          <w:szCs w:val="22"/>
        </w:rPr>
      </w:pPr>
      <w:r w:rsidRPr="00B10778">
        <w:rPr>
          <w:sz w:val="22"/>
          <w:szCs w:val="22"/>
        </w:rPr>
        <w:t xml:space="preserve">Seller, and, if applicable, its successors, represents and warrants that throughout the Delivery Term of this Agreement that: (i) the Project qualifies and is certified by the CEC as an Eligible Renewable Energy Resource (“ERR”) as such term is defined in Public Utilities Code Section 399.12 or Section 399.16; and (ii) the Project’s output delivered to Buyer qualifies under the requirements </w:t>
      </w:r>
      <w:r w:rsidR="005B6284">
        <w:rPr>
          <w:sz w:val="22"/>
          <w:szCs w:val="22"/>
        </w:rPr>
        <w:t xml:space="preserve">for Portfolio Content Category 2 </w:t>
      </w:r>
      <w:r w:rsidRPr="00B10778">
        <w:rPr>
          <w:sz w:val="22"/>
          <w:szCs w:val="22"/>
        </w:rPr>
        <w:t>of the California Renewables Portfolio Standard.  To the extent a change in law occurs after execution of this Agreement that causes this representation and warranty to be materially false or misleading, it shall not be an Event of Default if Seller has used commercially reasonable efforts to comply with such change in law.  [STC 6]</w:t>
      </w:r>
      <w:r w:rsidR="00E749C5" w:rsidRPr="00B10778">
        <w:rPr>
          <w:sz w:val="22"/>
          <w:szCs w:val="22"/>
        </w:rPr>
        <w:t xml:space="preserve"> </w:t>
      </w:r>
    </w:p>
    <w:p w:rsidR="00D82D9F" w:rsidRPr="00B10778" w:rsidRDefault="00D82D9F" w:rsidP="00BC192B">
      <w:pPr>
        <w:jc w:val="both"/>
        <w:rPr>
          <w:sz w:val="22"/>
          <w:szCs w:val="22"/>
        </w:rPr>
      </w:pPr>
    </w:p>
    <w:p w:rsidR="004E3352" w:rsidRDefault="00662638" w:rsidP="009E5176">
      <w:pPr>
        <w:jc w:val="both"/>
        <w:rPr>
          <w:sz w:val="22"/>
          <w:szCs w:val="22"/>
        </w:rPr>
      </w:pPr>
      <w:r w:rsidRPr="00B10778">
        <w:rPr>
          <w:sz w:val="22"/>
          <w:szCs w:val="22"/>
        </w:rPr>
        <w:t xml:space="preserve">The Parties agree that </w:t>
      </w:r>
      <w:r w:rsidR="00E749C5" w:rsidRPr="00B10778">
        <w:rPr>
          <w:sz w:val="22"/>
          <w:szCs w:val="22"/>
        </w:rPr>
        <w:t>“</w:t>
      </w:r>
      <w:r w:rsidRPr="00B10778">
        <w:rPr>
          <w:sz w:val="22"/>
          <w:szCs w:val="22"/>
        </w:rPr>
        <w:t>c</w:t>
      </w:r>
      <w:r w:rsidR="00E749C5" w:rsidRPr="00B10778">
        <w:rPr>
          <w:sz w:val="22"/>
          <w:szCs w:val="22"/>
        </w:rPr>
        <w:t xml:space="preserve">ommercially reasonable efforts” </w:t>
      </w:r>
      <w:r w:rsidR="004F77E1" w:rsidRPr="00B10778">
        <w:rPr>
          <w:sz w:val="22"/>
          <w:szCs w:val="22"/>
        </w:rPr>
        <w:t xml:space="preserve">as used in this Section </w:t>
      </w:r>
      <w:r w:rsidR="006B725A">
        <w:rPr>
          <w:sz w:val="22"/>
          <w:szCs w:val="22"/>
        </w:rPr>
        <w:t>3</w:t>
      </w:r>
      <w:r w:rsidRPr="00B10778">
        <w:rPr>
          <w:sz w:val="22"/>
          <w:szCs w:val="22"/>
        </w:rPr>
        <w:t xml:space="preserve"> (Eligibility)</w:t>
      </w:r>
      <w:r w:rsidR="004F77E1" w:rsidRPr="00B10778">
        <w:rPr>
          <w:sz w:val="22"/>
          <w:szCs w:val="22"/>
        </w:rPr>
        <w:t xml:space="preserve"> </w:t>
      </w:r>
      <w:r w:rsidRPr="00B10778">
        <w:rPr>
          <w:sz w:val="22"/>
          <w:szCs w:val="22"/>
        </w:rPr>
        <w:t xml:space="preserve">and in the “Transfer of Renewable Energy Credits” paragraph in the Transaction Confirmation Letter </w:t>
      </w:r>
      <w:r w:rsidR="00E749C5" w:rsidRPr="00B10778">
        <w:rPr>
          <w:sz w:val="22"/>
          <w:szCs w:val="22"/>
        </w:rPr>
        <w:t xml:space="preserve">shall not require Seller to spend more than </w:t>
      </w:r>
      <w:r w:rsidR="00310C72" w:rsidRPr="00B10778">
        <w:rPr>
          <w:sz w:val="22"/>
          <w:szCs w:val="22"/>
        </w:rPr>
        <w:t>$</w:t>
      </w:r>
      <w:r w:rsidR="00AE303C">
        <w:rPr>
          <w:sz w:val="22"/>
          <w:szCs w:val="22"/>
        </w:rPr>
        <w:t>10</w:t>
      </w:r>
      <w:r w:rsidR="00310C72" w:rsidRPr="00B10778">
        <w:rPr>
          <w:sz w:val="22"/>
          <w:szCs w:val="22"/>
        </w:rPr>
        <w:t>,</w:t>
      </w:r>
      <w:r w:rsidR="00AE303C">
        <w:rPr>
          <w:sz w:val="22"/>
          <w:szCs w:val="22"/>
        </w:rPr>
        <w:t>0</w:t>
      </w:r>
      <w:r w:rsidR="00310C72" w:rsidRPr="00B10778">
        <w:rPr>
          <w:sz w:val="22"/>
          <w:szCs w:val="22"/>
        </w:rPr>
        <w:t>00.00</w:t>
      </w:r>
      <w:r w:rsidR="004B19D3" w:rsidRPr="00B10778">
        <w:rPr>
          <w:sz w:val="22"/>
          <w:szCs w:val="22"/>
        </w:rPr>
        <w:t xml:space="preserve"> in</w:t>
      </w:r>
      <w:r w:rsidRPr="00B10778">
        <w:rPr>
          <w:sz w:val="22"/>
          <w:szCs w:val="22"/>
        </w:rPr>
        <w:t xml:space="preserve"> aggregate out-of-pocket costs and expenses (“Seller Expenditure Cap”).</w:t>
      </w:r>
      <w:r w:rsidR="009E5176" w:rsidRPr="00B10778">
        <w:rPr>
          <w:sz w:val="22"/>
          <w:szCs w:val="22"/>
        </w:rPr>
        <w:t xml:space="preserve">  To the extent that the Parties have entered or may enter into other </w:t>
      </w:r>
      <w:r w:rsidR="00386984" w:rsidRPr="00B10778">
        <w:rPr>
          <w:sz w:val="22"/>
          <w:szCs w:val="22"/>
        </w:rPr>
        <w:t>Transactions</w:t>
      </w:r>
      <w:r w:rsidR="009E5176" w:rsidRPr="00B10778">
        <w:rPr>
          <w:sz w:val="22"/>
          <w:szCs w:val="22"/>
        </w:rPr>
        <w:t xml:space="preserve"> with respect to the purchase and sale of RECs, the Seller Expenditure Cap set forth herein shall apply to this </w:t>
      </w:r>
      <w:r w:rsidR="00250EE4" w:rsidRPr="00B10778">
        <w:rPr>
          <w:sz w:val="22"/>
          <w:szCs w:val="22"/>
        </w:rPr>
        <w:t>Transaction</w:t>
      </w:r>
      <w:r w:rsidR="009E5176" w:rsidRPr="00B10778">
        <w:rPr>
          <w:sz w:val="22"/>
          <w:szCs w:val="22"/>
        </w:rPr>
        <w:t xml:space="preserve"> only and shall not be netted out or aggregated with any other similar limit on expenditures as may be set forth in such other </w:t>
      </w:r>
      <w:r w:rsidR="00250EE4" w:rsidRPr="00B10778">
        <w:rPr>
          <w:sz w:val="22"/>
          <w:szCs w:val="22"/>
        </w:rPr>
        <w:t>Transaction</w:t>
      </w:r>
      <w:r w:rsidR="009E5176" w:rsidRPr="00B10778">
        <w:rPr>
          <w:sz w:val="22"/>
          <w:szCs w:val="22"/>
        </w:rPr>
        <w:t>s.</w:t>
      </w:r>
    </w:p>
    <w:p w:rsidR="004E3352" w:rsidRDefault="004E3352" w:rsidP="009E5176">
      <w:pPr>
        <w:jc w:val="both"/>
        <w:rPr>
          <w:sz w:val="22"/>
          <w:szCs w:val="22"/>
        </w:rPr>
      </w:pPr>
    </w:p>
    <w:p w:rsidR="007F7994" w:rsidRDefault="00AF10A5">
      <w:pPr>
        <w:rPr>
          <w:sz w:val="22"/>
          <w:szCs w:val="22"/>
        </w:rPr>
      </w:pPr>
      <w:r w:rsidRPr="00AF10A5">
        <w:rPr>
          <w:sz w:val="22"/>
          <w:szCs w:val="22"/>
        </w:rPr>
        <w:t xml:space="preserve">If an applicable governmental or regulatory authority having jurisdiction determines that Product delivered or to be delivered under and in accordance with the terms of this Transaction does not or will not meet or satisfy the eligibility requirements set forth above (the “Eligibility Requirements”), then if the determination is prior to delivery of any Product hereunder, the Parties will have no liability to each other for any failure to deliver or purchase the Product that is not then delivered except in the event and to the extent that the failure to meet or satisfy the Eligibility Requirements is a result of a Buyer Eligibility Default or a Seller Eligibility Default; or if the determination is after delivery of any Product hereunder, the Parties will have no liability to each other for any prior delivery of Product except in the event and to the extent that the failure to meet or satisfy the Eligibility Requirements is a result of a Buyer Eligibility Default or a Seller Eligibility Default, provided however, that Buyer shall return and re-convey the REC Product along with the Green Attributes attributable to such </w:t>
      </w:r>
      <w:r w:rsidR="00BC02B1">
        <w:rPr>
          <w:sz w:val="22"/>
          <w:szCs w:val="22"/>
        </w:rPr>
        <w:t>Incremental Electricity</w:t>
      </w:r>
      <w:r w:rsidRPr="00AF10A5">
        <w:rPr>
          <w:sz w:val="22"/>
          <w:szCs w:val="22"/>
        </w:rPr>
        <w:t xml:space="preserve"> to Seller unused and without any encumbrance of any nature and kind whatsoever, and Seller shall refund to Buyer any </w:t>
      </w:r>
      <w:r w:rsidR="00AF5F75">
        <w:rPr>
          <w:sz w:val="22"/>
          <w:szCs w:val="22"/>
        </w:rPr>
        <w:t>REC Price</w:t>
      </w:r>
      <w:r w:rsidRPr="00AF10A5">
        <w:rPr>
          <w:sz w:val="22"/>
          <w:szCs w:val="22"/>
        </w:rPr>
        <w:t xml:space="preserve"> previously paid therefore and attributable to REC Product and Green Attributes, in either case within ten (10) Business Days after Buyer has delivered written notice of such failure to meet or satisfy the Eligibility Requirements and re-conveyed the REC Product.</w:t>
      </w:r>
    </w:p>
    <w:p w:rsidR="00BC192B" w:rsidRPr="00B10778" w:rsidRDefault="009E5176" w:rsidP="00BC192B">
      <w:pPr>
        <w:jc w:val="both"/>
        <w:rPr>
          <w:sz w:val="22"/>
          <w:szCs w:val="22"/>
        </w:rPr>
      </w:pPr>
      <w:r w:rsidRPr="00B10778">
        <w:rPr>
          <w:sz w:val="22"/>
          <w:szCs w:val="22"/>
        </w:rPr>
        <w:t xml:space="preserve">   </w:t>
      </w:r>
    </w:p>
    <w:p w:rsidR="002E0BCE" w:rsidRPr="00B10778" w:rsidRDefault="00C35D32">
      <w:pPr>
        <w:keepNext/>
        <w:jc w:val="both"/>
        <w:rPr>
          <w:b/>
          <w:sz w:val="22"/>
          <w:szCs w:val="22"/>
        </w:rPr>
      </w:pPr>
      <w:r w:rsidRPr="00B10778">
        <w:rPr>
          <w:b/>
          <w:sz w:val="22"/>
          <w:szCs w:val="22"/>
        </w:rPr>
        <w:t>4</w:t>
      </w:r>
      <w:r w:rsidR="00BC192B" w:rsidRPr="00B10778">
        <w:rPr>
          <w:b/>
          <w:sz w:val="22"/>
          <w:szCs w:val="22"/>
        </w:rPr>
        <w:t>.</w:t>
      </w:r>
      <w:r w:rsidR="00BC192B" w:rsidRPr="00B10778">
        <w:rPr>
          <w:b/>
          <w:sz w:val="22"/>
          <w:szCs w:val="22"/>
        </w:rPr>
        <w:tab/>
        <w:t>CHANGE IN LAW</w:t>
      </w:r>
    </w:p>
    <w:p w:rsidR="002E0BCE" w:rsidRPr="00B10778" w:rsidRDefault="002E0BCE">
      <w:pPr>
        <w:keepNext/>
        <w:jc w:val="both"/>
        <w:rPr>
          <w:b/>
          <w:sz w:val="22"/>
          <w:szCs w:val="22"/>
        </w:rPr>
      </w:pPr>
    </w:p>
    <w:p w:rsidR="00BC192B" w:rsidRPr="00B10778" w:rsidRDefault="006A39BC" w:rsidP="00BC192B">
      <w:pPr>
        <w:jc w:val="both"/>
        <w:rPr>
          <w:sz w:val="22"/>
          <w:szCs w:val="22"/>
        </w:rPr>
      </w:pPr>
      <w:r w:rsidRPr="00B10778">
        <w:rPr>
          <w:sz w:val="22"/>
          <w:szCs w:val="22"/>
        </w:rPr>
        <w:t xml:space="preserve">This Agreement is executed for the express purposes of complying with the California RPS and </w:t>
      </w:r>
      <w:r w:rsidR="00A00A8B" w:rsidRPr="00B10778">
        <w:rPr>
          <w:sz w:val="22"/>
          <w:szCs w:val="22"/>
        </w:rPr>
        <w:t xml:space="preserve">to partially meet the requirements of </w:t>
      </w:r>
      <w:r w:rsidRPr="00B10778">
        <w:rPr>
          <w:sz w:val="22"/>
          <w:szCs w:val="22"/>
        </w:rPr>
        <w:t>Section 399.16(b)(2) of the California Public Utilities Code.  The Parties acknowledge that the CEC and/or CPUC may be modifying mandatory contract language, altering the procurement and product qualification</w:t>
      </w:r>
      <w:r w:rsidR="002E0999" w:rsidRPr="00B10778">
        <w:rPr>
          <w:sz w:val="22"/>
          <w:szCs w:val="22"/>
        </w:rPr>
        <w:t xml:space="preserve"> and validation</w:t>
      </w:r>
      <w:r w:rsidRPr="00B10778">
        <w:rPr>
          <w:sz w:val="22"/>
          <w:szCs w:val="22"/>
        </w:rPr>
        <w:t xml:space="preserve"> rules, and updating the relevant California RPS Eligibility Guidebook in a manner consistent with that legislation.</w:t>
      </w:r>
      <w:r w:rsidR="006A469D" w:rsidRPr="00B10778">
        <w:rPr>
          <w:sz w:val="22"/>
          <w:szCs w:val="22"/>
        </w:rPr>
        <w:t xml:space="preserve">  </w:t>
      </w:r>
      <w:r w:rsidR="00BC192B" w:rsidRPr="00B10778">
        <w:rPr>
          <w:sz w:val="22"/>
          <w:szCs w:val="22"/>
        </w:rPr>
        <w:t xml:space="preserve">If any statutes, rules, regulations, permits or authorizations are enacted, amended, granted or revoked which have the effect of changing the transfer and sale procedure set forth in this Agreement so that the implementation of this Agreement becomes impossible or impracticable, </w:t>
      </w:r>
      <w:r w:rsidR="006A469D" w:rsidRPr="00B10778">
        <w:rPr>
          <w:sz w:val="22"/>
          <w:szCs w:val="22"/>
        </w:rPr>
        <w:t xml:space="preserve">or </w:t>
      </w:r>
      <w:r w:rsidR="00A00A8B" w:rsidRPr="00B10778">
        <w:rPr>
          <w:sz w:val="22"/>
          <w:szCs w:val="22"/>
        </w:rPr>
        <w:t xml:space="preserve">imposes </w:t>
      </w:r>
      <w:r w:rsidR="006A469D" w:rsidRPr="00B10778">
        <w:rPr>
          <w:sz w:val="22"/>
          <w:szCs w:val="22"/>
        </w:rPr>
        <w:t>language required to conform to the California RPS program,</w:t>
      </w:r>
      <w:r w:rsidR="00A00A8B" w:rsidRPr="00B10778">
        <w:rPr>
          <w:sz w:val="22"/>
          <w:szCs w:val="22"/>
        </w:rPr>
        <w:t xml:space="preserve"> </w:t>
      </w:r>
      <w:r w:rsidR="00BC192B" w:rsidRPr="00B10778">
        <w:rPr>
          <w:sz w:val="22"/>
          <w:szCs w:val="22"/>
        </w:rPr>
        <w:t xml:space="preserve">the Parties hereto agree to negotiate in good faith to amend this Agreement to </w:t>
      </w:r>
      <w:r w:rsidR="006A469D" w:rsidRPr="00B10778">
        <w:rPr>
          <w:sz w:val="22"/>
          <w:szCs w:val="22"/>
        </w:rPr>
        <w:t xml:space="preserve">conform with such new statutes, regulations, or rules in order </w:t>
      </w:r>
      <w:r w:rsidR="00A00A8B" w:rsidRPr="00B10778">
        <w:rPr>
          <w:sz w:val="22"/>
          <w:szCs w:val="22"/>
        </w:rPr>
        <w:t xml:space="preserve">while </w:t>
      </w:r>
      <w:r w:rsidR="00BC192B" w:rsidRPr="00B10778">
        <w:rPr>
          <w:sz w:val="22"/>
          <w:szCs w:val="22"/>
        </w:rPr>
        <w:t>maintain</w:t>
      </w:r>
      <w:r w:rsidR="00A00A8B" w:rsidRPr="00B10778">
        <w:rPr>
          <w:sz w:val="22"/>
          <w:szCs w:val="22"/>
        </w:rPr>
        <w:t>ing</w:t>
      </w:r>
      <w:r w:rsidR="00BC192B" w:rsidRPr="00B10778">
        <w:rPr>
          <w:sz w:val="22"/>
          <w:szCs w:val="22"/>
        </w:rPr>
        <w:t xml:space="preserve"> the original allocation of costs, risks, benefits and burdens of the Parties under this Agreement</w:t>
      </w:r>
      <w:r w:rsidR="00890BDD" w:rsidRPr="00B10778">
        <w:rPr>
          <w:sz w:val="22"/>
          <w:szCs w:val="22"/>
        </w:rPr>
        <w:t>.</w:t>
      </w:r>
      <w:r w:rsidR="009E5176" w:rsidRPr="00B10778">
        <w:rPr>
          <w:sz w:val="22"/>
          <w:szCs w:val="22"/>
        </w:rPr>
        <w:t xml:space="preserve">  </w:t>
      </w:r>
    </w:p>
    <w:p w:rsidR="004F77E1" w:rsidRPr="00B10778" w:rsidRDefault="00AE303C" w:rsidP="004F77E1">
      <w:pPr>
        <w:jc w:val="both"/>
        <w:rPr>
          <w:sz w:val="22"/>
          <w:szCs w:val="22"/>
        </w:rPr>
      </w:pPr>
      <w:r>
        <w:rPr>
          <w:b/>
          <w:sz w:val="22"/>
          <w:szCs w:val="22"/>
        </w:rPr>
        <w:t>5</w:t>
      </w:r>
      <w:r w:rsidR="004F77E1" w:rsidRPr="00B10778">
        <w:rPr>
          <w:b/>
          <w:sz w:val="22"/>
          <w:szCs w:val="22"/>
        </w:rPr>
        <w:t>.</w:t>
      </w:r>
      <w:r w:rsidR="004F77E1" w:rsidRPr="00B10778">
        <w:rPr>
          <w:b/>
          <w:sz w:val="22"/>
          <w:szCs w:val="22"/>
        </w:rPr>
        <w:tab/>
      </w:r>
      <w:r w:rsidR="004F77E1" w:rsidRPr="00B10778">
        <w:rPr>
          <w:b/>
          <w:caps/>
          <w:sz w:val="22"/>
          <w:szCs w:val="22"/>
        </w:rPr>
        <w:t>Confidentiality</w:t>
      </w:r>
    </w:p>
    <w:p w:rsidR="004F77E1" w:rsidRPr="00B10778" w:rsidRDefault="004F77E1" w:rsidP="004F77E1">
      <w:pPr>
        <w:jc w:val="both"/>
        <w:rPr>
          <w:sz w:val="22"/>
          <w:szCs w:val="22"/>
        </w:rPr>
      </w:pPr>
    </w:p>
    <w:p w:rsidR="004F77E1" w:rsidRPr="00B10778" w:rsidRDefault="00AE303C" w:rsidP="004F77E1">
      <w:pPr>
        <w:jc w:val="both"/>
        <w:rPr>
          <w:sz w:val="22"/>
          <w:szCs w:val="22"/>
        </w:rPr>
      </w:pPr>
      <w:r>
        <w:rPr>
          <w:sz w:val="22"/>
          <w:szCs w:val="22"/>
        </w:rPr>
        <w:t>5</w:t>
      </w:r>
      <w:r w:rsidR="004F77E1" w:rsidRPr="00B10778">
        <w:rPr>
          <w:sz w:val="22"/>
          <w:szCs w:val="22"/>
        </w:rPr>
        <w:t>.1</w:t>
      </w:r>
      <w:r w:rsidR="004F77E1" w:rsidRPr="00B10778">
        <w:rPr>
          <w:sz w:val="22"/>
          <w:szCs w:val="22"/>
        </w:rPr>
        <w:tab/>
      </w:r>
      <w:r w:rsidR="004F77E1" w:rsidRPr="00B10778">
        <w:rPr>
          <w:sz w:val="22"/>
          <w:szCs w:val="22"/>
          <w:u w:val="single"/>
        </w:rPr>
        <w:t>Confidentiality</w:t>
      </w:r>
      <w:r w:rsidR="004F77E1" w:rsidRPr="00B10778">
        <w:rPr>
          <w:sz w:val="22"/>
          <w:szCs w:val="22"/>
        </w:rPr>
        <w:t>.  Except as provided in this Article, neither Party shall publish, disclose, or otherwise divulge Confidential Information to any person at any time during or after the term of this Agreement, without the other Party’s prior express written consent.  Each Party shall permit knowledge of and access to Confidential Information only to those of its affiliates and to persons investing in, providing funding to or acquiring it or its affiliates, and to its and the foregoing persons’ respective attorneys, accountants, representatives, agents and employees who have a need to know such Confidential Information related to this Agreement.</w:t>
      </w:r>
    </w:p>
    <w:p w:rsidR="004F77E1" w:rsidRPr="00B10778" w:rsidRDefault="004F77E1" w:rsidP="004F77E1">
      <w:pPr>
        <w:jc w:val="both"/>
        <w:rPr>
          <w:sz w:val="22"/>
          <w:szCs w:val="22"/>
        </w:rPr>
      </w:pPr>
    </w:p>
    <w:p w:rsidR="004F77E1" w:rsidRDefault="00AE303C" w:rsidP="004F77E1">
      <w:pPr>
        <w:jc w:val="both"/>
        <w:rPr>
          <w:sz w:val="22"/>
          <w:szCs w:val="22"/>
        </w:rPr>
      </w:pPr>
      <w:r>
        <w:rPr>
          <w:sz w:val="22"/>
          <w:szCs w:val="22"/>
        </w:rPr>
        <w:t>5</w:t>
      </w:r>
      <w:r w:rsidR="004F77E1" w:rsidRPr="00B10778">
        <w:rPr>
          <w:sz w:val="22"/>
          <w:szCs w:val="22"/>
        </w:rPr>
        <w:t>.2</w:t>
      </w:r>
      <w:r w:rsidR="004F77E1" w:rsidRPr="00B10778">
        <w:rPr>
          <w:sz w:val="22"/>
          <w:szCs w:val="22"/>
        </w:rPr>
        <w:tab/>
      </w:r>
      <w:r w:rsidR="004F77E1" w:rsidRPr="00B10778">
        <w:rPr>
          <w:sz w:val="22"/>
          <w:szCs w:val="22"/>
          <w:u w:val="single"/>
        </w:rPr>
        <w:t>Required Disclosure</w:t>
      </w:r>
      <w:r w:rsidR="004F77E1" w:rsidRPr="00B10778">
        <w:rPr>
          <w:sz w:val="22"/>
          <w:szCs w:val="22"/>
        </w:rPr>
        <w:t>.  If required by any law, statute, ordinance, decision, order or regulation passed, adopted, issued or promulgated by a court, governmental agency or authority having jurisdiction over a Party</w:t>
      </w:r>
      <w:r w:rsidR="002E0999" w:rsidRPr="00B10778">
        <w:rPr>
          <w:sz w:val="22"/>
          <w:szCs w:val="22"/>
        </w:rPr>
        <w:t xml:space="preserve"> (including the Federal Energy Regulatory Commission)</w:t>
      </w:r>
      <w:r w:rsidR="004F77E1" w:rsidRPr="00B10778">
        <w:rPr>
          <w:sz w:val="22"/>
          <w:szCs w:val="22"/>
        </w:rPr>
        <w:t xml:space="preserve">, that Party may release Confidential Information, or a portion thereof, to the court, governmental agency or authority, as required by the applicable law, statute, ordinance, decision, order or regulation, and a Party may disclose Confidential Information to accountants in connection with audits, provided that such Party has notified the other Party of the required disclosure, such that the other Party may attempt (if such Party so chooses) to cause that court, governmental agency, authority or accountant to treat such information in a confidential manner and to prevent such information from being disclosed or otherwise becoming part of the public domain.  Parties acknowledge that Buyer is obligated to provide Confidential Information to the CPUC and CEC for regulatory compliance purposes, and Seller waives the prior notice requirement and authorizes such disclosures to the CPUC and CEC.  </w:t>
      </w:r>
    </w:p>
    <w:p w:rsidR="00145766" w:rsidRPr="00B10778" w:rsidRDefault="00145766" w:rsidP="00145766">
      <w:pPr>
        <w:jc w:val="both"/>
        <w:rPr>
          <w:sz w:val="22"/>
          <w:szCs w:val="22"/>
        </w:rPr>
      </w:pPr>
    </w:p>
    <w:p w:rsidR="00145766" w:rsidRDefault="00145766" w:rsidP="00145766">
      <w:pPr>
        <w:keepNext/>
        <w:jc w:val="both"/>
        <w:rPr>
          <w:sz w:val="22"/>
          <w:szCs w:val="22"/>
        </w:rPr>
      </w:pPr>
      <w:r>
        <w:rPr>
          <w:b/>
          <w:sz w:val="22"/>
          <w:szCs w:val="22"/>
        </w:rPr>
        <w:t>6.</w:t>
      </w:r>
      <w:r>
        <w:rPr>
          <w:b/>
          <w:sz w:val="22"/>
          <w:szCs w:val="22"/>
        </w:rPr>
        <w:tab/>
        <w:t>APPLICABLE LAW; WAIVER OF TRIAL BY JURY</w:t>
      </w:r>
    </w:p>
    <w:p w:rsidR="00145766" w:rsidRDefault="00145766" w:rsidP="00145766">
      <w:pPr>
        <w:keepNext/>
        <w:jc w:val="both"/>
        <w:rPr>
          <w:sz w:val="22"/>
          <w:szCs w:val="22"/>
        </w:rPr>
      </w:pPr>
    </w:p>
    <w:p w:rsidR="00145766" w:rsidRDefault="00145766" w:rsidP="00145766">
      <w:pPr>
        <w:jc w:val="both"/>
        <w:rPr>
          <w:sz w:val="22"/>
          <w:szCs w:val="22"/>
        </w:rPr>
      </w:pPr>
      <w:r>
        <w:rPr>
          <w:sz w:val="22"/>
          <w:szCs w:val="22"/>
        </w:rPr>
        <w:t>This A</w:t>
      </w:r>
      <w:r w:rsidRPr="002F5464">
        <w:rPr>
          <w:sz w:val="22"/>
          <w:szCs w:val="22"/>
        </w:rPr>
        <w:t xml:space="preserve">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  </w:t>
      </w:r>
      <w:r>
        <w:rPr>
          <w:sz w:val="22"/>
          <w:szCs w:val="22"/>
        </w:rPr>
        <w:t>[STC 17]</w:t>
      </w:r>
    </w:p>
    <w:p w:rsidR="00145766" w:rsidRPr="00B10778" w:rsidRDefault="00145766" w:rsidP="004F77E1">
      <w:pPr>
        <w:jc w:val="both"/>
        <w:rPr>
          <w:sz w:val="22"/>
          <w:szCs w:val="22"/>
        </w:rPr>
      </w:pPr>
    </w:p>
    <w:p w:rsidR="00BC192B" w:rsidRPr="00B10778" w:rsidRDefault="00BC192B" w:rsidP="00BC192B">
      <w:pPr>
        <w:jc w:val="both"/>
        <w:rPr>
          <w:sz w:val="22"/>
          <w:szCs w:val="22"/>
        </w:rPr>
      </w:pPr>
    </w:p>
    <w:p w:rsidR="00FA3A05" w:rsidRDefault="00FA3A05" w:rsidP="00D372D4">
      <w:pPr>
        <w:jc w:val="center"/>
        <w:rPr>
          <w:sz w:val="22"/>
          <w:szCs w:val="22"/>
        </w:rPr>
        <w:sectPr w:rsidR="00FA3A05" w:rsidSect="00D372D4">
          <w:footerReference w:type="default" r:id="rId14"/>
          <w:pgSz w:w="12240" w:h="15840"/>
          <w:pgMar w:top="1440" w:right="1800" w:bottom="1260" w:left="1800" w:header="720" w:footer="720" w:gutter="0"/>
          <w:cols w:space="720"/>
          <w:docGrid w:linePitch="360"/>
        </w:sectPr>
      </w:pPr>
    </w:p>
    <w:p w:rsidR="00EB5320" w:rsidRPr="00B10778" w:rsidRDefault="00523FDB" w:rsidP="00D372D4">
      <w:pPr>
        <w:jc w:val="center"/>
        <w:rPr>
          <w:b/>
          <w:sz w:val="22"/>
          <w:szCs w:val="22"/>
        </w:rPr>
      </w:pPr>
      <w:r w:rsidRPr="00B10778">
        <w:rPr>
          <w:b/>
          <w:sz w:val="22"/>
          <w:szCs w:val="22"/>
        </w:rPr>
        <w:t>SCHEDULE A</w:t>
      </w:r>
    </w:p>
    <w:p w:rsidR="00523FDB" w:rsidRPr="00B10778" w:rsidRDefault="00523FDB" w:rsidP="00D372D4">
      <w:pPr>
        <w:jc w:val="center"/>
        <w:rPr>
          <w:b/>
          <w:sz w:val="22"/>
          <w:szCs w:val="22"/>
        </w:rPr>
      </w:pPr>
      <w:r w:rsidRPr="00B10778">
        <w:rPr>
          <w:b/>
          <w:sz w:val="22"/>
          <w:szCs w:val="22"/>
        </w:rPr>
        <w:t>List of Project(s)</w:t>
      </w:r>
    </w:p>
    <w:p w:rsidR="00523FDB" w:rsidRPr="00B10778" w:rsidRDefault="00523FDB" w:rsidP="00D372D4">
      <w:pPr>
        <w:spacing w:line="480" w:lineRule="auto"/>
        <w:jc w:val="center"/>
        <w:rPr>
          <w:sz w:val="22"/>
          <w:szCs w:val="22"/>
        </w:rPr>
      </w:pPr>
    </w:p>
    <w:p w:rsidR="00F9451C" w:rsidRPr="00B10778" w:rsidRDefault="00A50D12" w:rsidP="00D372D4">
      <w:pPr>
        <w:spacing w:line="480" w:lineRule="auto"/>
        <w:jc w:val="center"/>
        <w:rPr>
          <w:sz w:val="22"/>
          <w:szCs w:val="22"/>
        </w:rPr>
      </w:pPr>
      <w:r>
        <w:rPr>
          <w:sz w:val="22"/>
          <w:szCs w:val="22"/>
        </w:rPr>
        <w:t>[</w:t>
      </w:r>
      <w:r w:rsidRPr="00A50D12">
        <w:rPr>
          <w:i/>
          <w:sz w:val="22"/>
          <w:szCs w:val="22"/>
        </w:rPr>
        <w:t>Project name</w:t>
      </w:r>
      <w:r>
        <w:rPr>
          <w:i/>
          <w:sz w:val="22"/>
          <w:szCs w:val="22"/>
        </w:rPr>
        <w:t>(s)</w:t>
      </w:r>
      <w:r w:rsidRPr="00A50D12">
        <w:rPr>
          <w:i/>
          <w:sz w:val="22"/>
          <w:szCs w:val="22"/>
        </w:rPr>
        <w:t>, including CEC#</w:t>
      </w:r>
      <w:r>
        <w:rPr>
          <w:sz w:val="22"/>
          <w:szCs w:val="22"/>
        </w:rPr>
        <w:t>]</w:t>
      </w:r>
    </w:p>
    <w:sectPr w:rsidR="00F9451C" w:rsidRPr="00B10778" w:rsidSect="00D372D4">
      <w:footerReference w:type="default" r:id="rId15"/>
      <w:pgSz w:w="12240" w:h="15840"/>
      <w:pgMar w:top="1440" w:right="1800" w:bottom="126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089" w:rsidRDefault="00564089" w:rsidP="00BC192B">
      <w:r>
        <w:separator/>
      </w:r>
    </w:p>
  </w:endnote>
  <w:endnote w:type="continuationSeparator" w:id="0">
    <w:p w:rsidR="00564089" w:rsidRDefault="00564089" w:rsidP="00BC192B">
      <w:r>
        <w:continuationSeparator/>
      </w:r>
    </w:p>
  </w:endnote>
  <w:endnote w:type="continuationNotice" w:id="1">
    <w:p w:rsidR="00564089" w:rsidRDefault="0056408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6F2" w:rsidRDefault="00C21581">
    <w:pPr>
      <w:pStyle w:val="Footer"/>
      <w:framePr w:wrap="around" w:vAnchor="text" w:hAnchor="margin" w:xAlign="center" w:y="1"/>
      <w:rPr>
        <w:rStyle w:val="PageNumber"/>
      </w:rPr>
    </w:pPr>
    <w:r>
      <w:rPr>
        <w:rStyle w:val="PageNumber"/>
      </w:rPr>
      <w:fldChar w:fldCharType="begin"/>
    </w:r>
    <w:r w:rsidR="000D76F2">
      <w:rPr>
        <w:rStyle w:val="PageNumber"/>
      </w:rPr>
      <w:instrText xml:space="preserve">PAGE  </w:instrText>
    </w:r>
    <w:r>
      <w:rPr>
        <w:rStyle w:val="PageNumber"/>
      </w:rPr>
      <w:fldChar w:fldCharType="end"/>
    </w:r>
  </w:p>
  <w:p w:rsidR="000D76F2" w:rsidRDefault="000D76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86C" w:rsidRDefault="000D76F2" w:rsidP="00FB399F">
    <w:pPr>
      <w:pStyle w:val="Footer"/>
      <w:rPr>
        <w:noProof/>
        <w:vertAlign w:val="superscript"/>
      </w:rPr>
    </w:pPr>
    <w:r w:rsidRPr="00FB399F">
      <w:rPr>
        <w:vertAlign w:val="superscript"/>
      </w:rPr>
      <w:tab/>
    </w:r>
    <w:r w:rsidR="00C21581" w:rsidRPr="00703BAD">
      <w:rPr>
        <w:vertAlign w:val="superscript"/>
      </w:rPr>
      <w:fldChar w:fldCharType="begin"/>
    </w:r>
    <w:r w:rsidRPr="00703BAD">
      <w:rPr>
        <w:vertAlign w:val="superscript"/>
      </w:rPr>
      <w:instrText xml:space="preserve"> PAGE   \* MERGEFORMAT </w:instrText>
    </w:r>
    <w:r w:rsidR="00C21581" w:rsidRPr="00703BAD">
      <w:rPr>
        <w:vertAlign w:val="superscript"/>
      </w:rPr>
      <w:fldChar w:fldCharType="separate"/>
    </w:r>
    <w:r w:rsidR="007D56B2">
      <w:rPr>
        <w:noProof/>
        <w:vertAlign w:val="superscript"/>
      </w:rPr>
      <w:t>2</w:t>
    </w:r>
    <w:r w:rsidR="00C21581" w:rsidRPr="00703BAD">
      <w:rPr>
        <w:noProof/>
        <w:vertAlign w:val="superscript"/>
      </w:rPr>
      <w:fldChar w:fldCharType="end"/>
    </w:r>
  </w:p>
  <w:p w:rsidR="00DD0384" w:rsidRDefault="0097186C" w:rsidP="0097186C">
    <w:pPr>
      <w:pStyle w:val="Footer"/>
      <w:spacing w:line="200" w:lineRule="exact"/>
      <w:rPr>
        <w:noProof/>
        <w:vertAlign w:val="superscript"/>
      </w:rPr>
    </w:pPr>
    <w:r w:rsidRPr="0097186C">
      <w:rPr>
        <w:rStyle w:val="zzmpTrailerItem"/>
      </w:rPr>
      <w:t>27992215v1</w:t>
    </w:r>
    <w:r w:rsidRPr="0097186C">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7F1" w:rsidRPr="0097186C" w:rsidRDefault="0097186C" w:rsidP="0097186C">
    <w:pPr>
      <w:pStyle w:val="Footer"/>
      <w:spacing w:line="200" w:lineRule="exact"/>
    </w:pPr>
    <w:r w:rsidRPr="0097186C">
      <w:rPr>
        <w:rStyle w:val="zzmpTrailerItem"/>
      </w:rPr>
      <w:t>27992215v1</w:t>
    </w:r>
    <w:r w:rsidRPr="0097186C">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86C" w:rsidRDefault="00FA3A05" w:rsidP="00FA3A05">
    <w:pPr>
      <w:pStyle w:val="Footer"/>
      <w:jc w:val="center"/>
      <w:rPr>
        <w:vertAlign w:val="superscript"/>
      </w:rPr>
    </w:pPr>
    <w:r>
      <w:rPr>
        <w:vertAlign w:val="superscript"/>
      </w:rPr>
      <w:t>GTC-4</w:t>
    </w:r>
  </w:p>
  <w:p w:rsidR="00DD0384" w:rsidRDefault="0097186C" w:rsidP="0097186C">
    <w:pPr>
      <w:pStyle w:val="Footer"/>
      <w:spacing w:line="200" w:lineRule="exact"/>
      <w:rPr>
        <w:vertAlign w:val="superscript"/>
      </w:rPr>
    </w:pPr>
    <w:r w:rsidRPr="0097186C">
      <w:rPr>
        <w:rStyle w:val="zzmpTrailerItem"/>
      </w:rPr>
      <w:t>27992215v1</w:t>
    </w:r>
    <w:r w:rsidRPr="0097186C">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86C" w:rsidRDefault="00FA3A05" w:rsidP="00FA3A05">
    <w:pPr>
      <w:pStyle w:val="Footer"/>
      <w:jc w:val="center"/>
      <w:rPr>
        <w:vertAlign w:val="superscript"/>
      </w:rPr>
    </w:pPr>
    <w:r>
      <w:rPr>
        <w:vertAlign w:val="superscript"/>
      </w:rPr>
      <w:t>A-1</w:t>
    </w:r>
  </w:p>
  <w:p w:rsidR="00DD0384" w:rsidRDefault="0097186C" w:rsidP="0097186C">
    <w:pPr>
      <w:pStyle w:val="Footer"/>
      <w:spacing w:line="200" w:lineRule="exact"/>
      <w:rPr>
        <w:vertAlign w:val="superscript"/>
      </w:rPr>
    </w:pPr>
    <w:r w:rsidRPr="0097186C">
      <w:rPr>
        <w:rStyle w:val="zzmpTrailerItem"/>
      </w:rPr>
      <w:t>27992215v1</w:t>
    </w:r>
    <w:r w:rsidRPr="0097186C">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089" w:rsidRDefault="00564089" w:rsidP="00BC192B">
      <w:pPr>
        <w:rPr>
          <w:noProof/>
        </w:rPr>
      </w:pPr>
      <w:r>
        <w:rPr>
          <w:noProof/>
        </w:rPr>
        <w:separator/>
      </w:r>
    </w:p>
  </w:footnote>
  <w:footnote w:type="continuationSeparator" w:id="0">
    <w:p w:rsidR="00564089" w:rsidRDefault="00564089" w:rsidP="00BC192B">
      <w:r>
        <w:continuationSeparator/>
      </w:r>
    </w:p>
  </w:footnote>
  <w:footnote w:type="continuationNotice" w:id="1">
    <w:p w:rsidR="00564089" w:rsidRDefault="00564089"/>
  </w:footnote>
  <w:footnote w:id="2">
    <w:p w:rsidR="008D53F1" w:rsidRDefault="008D53F1" w:rsidP="008D53F1">
      <w:pPr>
        <w:pStyle w:val="FootnoteText"/>
        <w:ind w:left="288" w:hanging="288"/>
      </w:pPr>
      <w:r>
        <w:rPr>
          <w:rStyle w:val="FootnoteReference"/>
        </w:rPr>
        <w:footnoteRef/>
      </w:r>
      <w:r>
        <w:t xml:space="preserve"> </w:t>
      </w:r>
      <w:r>
        <w:tab/>
      </w:r>
      <w:r w:rsidRPr="004D34A8">
        <w:rPr>
          <w:sz w:val="22"/>
          <w:szCs w:val="22"/>
        </w:rPr>
        <w:t>Avoided emissions may or may not have any value for GHG compliance purposes.  Although avoided emissions are included in the list of Green Attributes, this inclusion does not create any right to use those avoided emissions to comply with any GHG regulatory program.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6B2" w:rsidRDefault="007D56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6F2" w:rsidRDefault="000D76F2">
    <w:pPr>
      <w:pStyle w:val="Header"/>
      <w:jc w:val="right"/>
      <w:rPr>
        <w:b/>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4DB" w:rsidRDefault="007274DB" w:rsidP="007274DB">
    <w:pPr>
      <w:pStyle w:val="Header"/>
      <w:rPr>
        <w:b/>
      </w:rPr>
    </w:pPr>
    <w:r>
      <w:rPr>
        <w:b/>
      </w:rPr>
      <w:t xml:space="preserve">MARIN CLEAN ENERGY </w:t>
    </w:r>
  </w:p>
  <w:p w:rsidR="007274DB" w:rsidRDefault="007274DB" w:rsidP="007274DB">
    <w:pPr>
      <w:pStyle w:val="Header"/>
      <w:rPr>
        <w:b/>
      </w:rPr>
    </w:pPr>
    <w:r>
      <w:rPr>
        <w:b/>
      </w:rPr>
      <w:t>02/23/2015 DRAFT</w:t>
    </w:r>
  </w:p>
  <w:p w:rsidR="007274DB" w:rsidRDefault="007274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6268C"/>
    <w:multiLevelType w:val="hybridMultilevel"/>
    <w:tmpl w:val="F006D48A"/>
    <w:lvl w:ilvl="0" w:tplc="C206DB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D35111"/>
    <w:multiLevelType w:val="hybridMultilevel"/>
    <w:tmpl w:val="8E42F8C6"/>
    <w:lvl w:ilvl="0" w:tplc="BA92174C">
      <w:start w:val="1"/>
      <w:numFmt w:val="lowerLetter"/>
      <w:lvlText w:val="%1."/>
      <w:lvlJc w:val="left"/>
      <w:pPr>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330F6B"/>
    <w:multiLevelType w:val="hybridMultilevel"/>
    <w:tmpl w:val="EA22C08E"/>
    <w:lvl w:ilvl="0" w:tplc="601689F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B405170"/>
    <w:multiLevelType w:val="hybridMultilevel"/>
    <w:tmpl w:val="B1ACBDC0"/>
    <w:lvl w:ilvl="0" w:tplc="64FC9D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defaultTabStop w:val="720"/>
  <w:drawingGridHorizontalSpacing w:val="12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rsids>
    <w:rsidRoot w:val="00BC192B"/>
    <w:rsid w:val="0000092F"/>
    <w:rsid w:val="000065A9"/>
    <w:rsid w:val="000103FC"/>
    <w:rsid w:val="00012BAB"/>
    <w:rsid w:val="00014F16"/>
    <w:rsid w:val="000173CB"/>
    <w:rsid w:val="000174C1"/>
    <w:rsid w:val="0001768F"/>
    <w:rsid w:val="000207B7"/>
    <w:rsid w:val="00023337"/>
    <w:rsid w:val="00026193"/>
    <w:rsid w:val="00026ED9"/>
    <w:rsid w:val="00027B88"/>
    <w:rsid w:val="00027CCA"/>
    <w:rsid w:val="000330D4"/>
    <w:rsid w:val="00033382"/>
    <w:rsid w:val="000336A5"/>
    <w:rsid w:val="00034378"/>
    <w:rsid w:val="000357D3"/>
    <w:rsid w:val="00037F0A"/>
    <w:rsid w:val="000400C9"/>
    <w:rsid w:val="000406A5"/>
    <w:rsid w:val="00040850"/>
    <w:rsid w:val="00040F9F"/>
    <w:rsid w:val="00041847"/>
    <w:rsid w:val="00042443"/>
    <w:rsid w:val="00042E16"/>
    <w:rsid w:val="0004350C"/>
    <w:rsid w:val="0005074E"/>
    <w:rsid w:val="000509EF"/>
    <w:rsid w:val="00050DE5"/>
    <w:rsid w:val="00051D7C"/>
    <w:rsid w:val="00053924"/>
    <w:rsid w:val="00057EA0"/>
    <w:rsid w:val="0006102B"/>
    <w:rsid w:val="000623C7"/>
    <w:rsid w:val="000642B6"/>
    <w:rsid w:val="00065097"/>
    <w:rsid w:val="000653EC"/>
    <w:rsid w:val="00067587"/>
    <w:rsid w:val="00072187"/>
    <w:rsid w:val="0007297C"/>
    <w:rsid w:val="000747A7"/>
    <w:rsid w:val="000754A1"/>
    <w:rsid w:val="0007563A"/>
    <w:rsid w:val="00075A86"/>
    <w:rsid w:val="00075EA1"/>
    <w:rsid w:val="00076109"/>
    <w:rsid w:val="00076441"/>
    <w:rsid w:val="00077202"/>
    <w:rsid w:val="00081F33"/>
    <w:rsid w:val="00084DCD"/>
    <w:rsid w:val="00093811"/>
    <w:rsid w:val="00094375"/>
    <w:rsid w:val="00094C37"/>
    <w:rsid w:val="0009695F"/>
    <w:rsid w:val="000A0DA3"/>
    <w:rsid w:val="000A0F4C"/>
    <w:rsid w:val="000A2E3A"/>
    <w:rsid w:val="000A2E52"/>
    <w:rsid w:val="000A5067"/>
    <w:rsid w:val="000A7C2E"/>
    <w:rsid w:val="000B01C3"/>
    <w:rsid w:val="000B0307"/>
    <w:rsid w:val="000B03E4"/>
    <w:rsid w:val="000B1CF0"/>
    <w:rsid w:val="000B58C9"/>
    <w:rsid w:val="000B78C5"/>
    <w:rsid w:val="000C0015"/>
    <w:rsid w:val="000C16BB"/>
    <w:rsid w:val="000C28B6"/>
    <w:rsid w:val="000C37F5"/>
    <w:rsid w:val="000C3A3E"/>
    <w:rsid w:val="000C4B64"/>
    <w:rsid w:val="000C5151"/>
    <w:rsid w:val="000C5740"/>
    <w:rsid w:val="000C63C2"/>
    <w:rsid w:val="000C6E27"/>
    <w:rsid w:val="000C742D"/>
    <w:rsid w:val="000C7D4C"/>
    <w:rsid w:val="000D0679"/>
    <w:rsid w:val="000D0DD5"/>
    <w:rsid w:val="000D6C3F"/>
    <w:rsid w:val="000D6D54"/>
    <w:rsid w:val="000D70A2"/>
    <w:rsid w:val="000D76F2"/>
    <w:rsid w:val="000E0882"/>
    <w:rsid w:val="000E17B7"/>
    <w:rsid w:val="000E358C"/>
    <w:rsid w:val="000E362E"/>
    <w:rsid w:val="000E4E56"/>
    <w:rsid w:val="000E4F24"/>
    <w:rsid w:val="000F04D3"/>
    <w:rsid w:val="000F20D8"/>
    <w:rsid w:val="000F320F"/>
    <w:rsid w:val="000F7613"/>
    <w:rsid w:val="0010116A"/>
    <w:rsid w:val="0010142C"/>
    <w:rsid w:val="00103C8A"/>
    <w:rsid w:val="001047D9"/>
    <w:rsid w:val="00105339"/>
    <w:rsid w:val="0010658C"/>
    <w:rsid w:val="00107077"/>
    <w:rsid w:val="001114D4"/>
    <w:rsid w:val="001124A3"/>
    <w:rsid w:val="00113407"/>
    <w:rsid w:val="00113F1D"/>
    <w:rsid w:val="001167D0"/>
    <w:rsid w:val="00116863"/>
    <w:rsid w:val="00117C7E"/>
    <w:rsid w:val="00117D48"/>
    <w:rsid w:val="0012069D"/>
    <w:rsid w:val="00122552"/>
    <w:rsid w:val="00124E36"/>
    <w:rsid w:val="001255DE"/>
    <w:rsid w:val="00125A79"/>
    <w:rsid w:val="0013039D"/>
    <w:rsid w:val="00130E3E"/>
    <w:rsid w:val="001319C6"/>
    <w:rsid w:val="00131FFD"/>
    <w:rsid w:val="00132645"/>
    <w:rsid w:val="00132777"/>
    <w:rsid w:val="0013368E"/>
    <w:rsid w:val="00133FD0"/>
    <w:rsid w:val="001356FA"/>
    <w:rsid w:val="001378D0"/>
    <w:rsid w:val="00141352"/>
    <w:rsid w:val="00144C29"/>
    <w:rsid w:val="00144F0D"/>
    <w:rsid w:val="00145276"/>
    <w:rsid w:val="00145475"/>
    <w:rsid w:val="00145766"/>
    <w:rsid w:val="001473AE"/>
    <w:rsid w:val="00151D85"/>
    <w:rsid w:val="0015559C"/>
    <w:rsid w:val="00155926"/>
    <w:rsid w:val="00155C14"/>
    <w:rsid w:val="00163F3D"/>
    <w:rsid w:val="001701D3"/>
    <w:rsid w:val="001718A0"/>
    <w:rsid w:val="00172F06"/>
    <w:rsid w:val="00175E68"/>
    <w:rsid w:val="00176A8E"/>
    <w:rsid w:val="00176E02"/>
    <w:rsid w:val="00177B44"/>
    <w:rsid w:val="001807CB"/>
    <w:rsid w:val="00180A4D"/>
    <w:rsid w:val="00180BCB"/>
    <w:rsid w:val="001828AD"/>
    <w:rsid w:val="00183F20"/>
    <w:rsid w:val="00184CDC"/>
    <w:rsid w:val="001865E0"/>
    <w:rsid w:val="001870EC"/>
    <w:rsid w:val="00187733"/>
    <w:rsid w:val="00187CAC"/>
    <w:rsid w:val="00190197"/>
    <w:rsid w:val="00190891"/>
    <w:rsid w:val="00191ADC"/>
    <w:rsid w:val="001922E4"/>
    <w:rsid w:val="001936EF"/>
    <w:rsid w:val="0019373A"/>
    <w:rsid w:val="001940FB"/>
    <w:rsid w:val="00195251"/>
    <w:rsid w:val="001A0231"/>
    <w:rsid w:val="001A0EB7"/>
    <w:rsid w:val="001A3B9D"/>
    <w:rsid w:val="001A45BA"/>
    <w:rsid w:val="001A473C"/>
    <w:rsid w:val="001A51EF"/>
    <w:rsid w:val="001A55F4"/>
    <w:rsid w:val="001A5825"/>
    <w:rsid w:val="001A5BF6"/>
    <w:rsid w:val="001A5D36"/>
    <w:rsid w:val="001A672E"/>
    <w:rsid w:val="001A7EA6"/>
    <w:rsid w:val="001B63B8"/>
    <w:rsid w:val="001B64B1"/>
    <w:rsid w:val="001C138D"/>
    <w:rsid w:val="001C405F"/>
    <w:rsid w:val="001C421E"/>
    <w:rsid w:val="001C77AA"/>
    <w:rsid w:val="001D28E2"/>
    <w:rsid w:val="001D47E7"/>
    <w:rsid w:val="001D5B64"/>
    <w:rsid w:val="001D6AEC"/>
    <w:rsid w:val="001E02A7"/>
    <w:rsid w:val="001E0E97"/>
    <w:rsid w:val="001E2908"/>
    <w:rsid w:val="001E41A0"/>
    <w:rsid w:val="001E4575"/>
    <w:rsid w:val="001E4BB1"/>
    <w:rsid w:val="001E544A"/>
    <w:rsid w:val="001E6EAF"/>
    <w:rsid w:val="001E7355"/>
    <w:rsid w:val="001F0161"/>
    <w:rsid w:val="001F1140"/>
    <w:rsid w:val="001F75BF"/>
    <w:rsid w:val="00200112"/>
    <w:rsid w:val="00200C3E"/>
    <w:rsid w:val="0020208C"/>
    <w:rsid w:val="00202788"/>
    <w:rsid w:val="00202C17"/>
    <w:rsid w:val="00204417"/>
    <w:rsid w:val="00206EA7"/>
    <w:rsid w:val="002077D3"/>
    <w:rsid w:val="002108FA"/>
    <w:rsid w:val="002109BF"/>
    <w:rsid w:val="00212F39"/>
    <w:rsid w:val="00213C6E"/>
    <w:rsid w:val="00214E55"/>
    <w:rsid w:val="00215673"/>
    <w:rsid w:val="00216FAF"/>
    <w:rsid w:val="00217705"/>
    <w:rsid w:val="00217D7F"/>
    <w:rsid w:val="002207AA"/>
    <w:rsid w:val="00221B6D"/>
    <w:rsid w:val="00222F29"/>
    <w:rsid w:val="00224941"/>
    <w:rsid w:val="0023213C"/>
    <w:rsid w:val="00233521"/>
    <w:rsid w:val="002339EE"/>
    <w:rsid w:val="0023758D"/>
    <w:rsid w:val="00237913"/>
    <w:rsid w:val="002404F0"/>
    <w:rsid w:val="00242916"/>
    <w:rsid w:val="00242A9E"/>
    <w:rsid w:val="002439BF"/>
    <w:rsid w:val="002446E4"/>
    <w:rsid w:val="00245526"/>
    <w:rsid w:val="0024742E"/>
    <w:rsid w:val="0024761E"/>
    <w:rsid w:val="00247C3E"/>
    <w:rsid w:val="002501E5"/>
    <w:rsid w:val="00250EE4"/>
    <w:rsid w:val="00251073"/>
    <w:rsid w:val="00251707"/>
    <w:rsid w:val="00252A8E"/>
    <w:rsid w:val="00253991"/>
    <w:rsid w:val="002542EA"/>
    <w:rsid w:val="0025444E"/>
    <w:rsid w:val="002545EC"/>
    <w:rsid w:val="00254CCF"/>
    <w:rsid w:val="002552FC"/>
    <w:rsid w:val="00256E7F"/>
    <w:rsid w:val="00257F6D"/>
    <w:rsid w:val="0026015C"/>
    <w:rsid w:val="00261B39"/>
    <w:rsid w:val="00262971"/>
    <w:rsid w:val="002638A5"/>
    <w:rsid w:val="002672E2"/>
    <w:rsid w:val="00267B19"/>
    <w:rsid w:val="00273D62"/>
    <w:rsid w:val="00274C4D"/>
    <w:rsid w:val="002803D1"/>
    <w:rsid w:val="002818D7"/>
    <w:rsid w:val="00283B56"/>
    <w:rsid w:val="00284AC6"/>
    <w:rsid w:val="0029081D"/>
    <w:rsid w:val="00290C66"/>
    <w:rsid w:val="00292E34"/>
    <w:rsid w:val="00293865"/>
    <w:rsid w:val="00297BB4"/>
    <w:rsid w:val="002A04A7"/>
    <w:rsid w:val="002A21F0"/>
    <w:rsid w:val="002A282A"/>
    <w:rsid w:val="002A2996"/>
    <w:rsid w:val="002A4CC0"/>
    <w:rsid w:val="002A5140"/>
    <w:rsid w:val="002A646B"/>
    <w:rsid w:val="002A6948"/>
    <w:rsid w:val="002A7052"/>
    <w:rsid w:val="002B228F"/>
    <w:rsid w:val="002B3621"/>
    <w:rsid w:val="002B37ED"/>
    <w:rsid w:val="002C1CA6"/>
    <w:rsid w:val="002C267B"/>
    <w:rsid w:val="002C40A7"/>
    <w:rsid w:val="002C5CB4"/>
    <w:rsid w:val="002C5E2E"/>
    <w:rsid w:val="002C61E1"/>
    <w:rsid w:val="002C6B96"/>
    <w:rsid w:val="002D49E1"/>
    <w:rsid w:val="002E0999"/>
    <w:rsid w:val="002E0BCE"/>
    <w:rsid w:val="002E0C65"/>
    <w:rsid w:val="002E11CD"/>
    <w:rsid w:val="002E20F5"/>
    <w:rsid w:val="002E3DBF"/>
    <w:rsid w:val="002E4D6B"/>
    <w:rsid w:val="002E59B8"/>
    <w:rsid w:val="002E7BA2"/>
    <w:rsid w:val="002F09DB"/>
    <w:rsid w:val="002F0CA4"/>
    <w:rsid w:val="002F2154"/>
    <w:rsid w:val="002F227C"/>
    <w:rsid w:val="002F334A"/>
    <w:rsid w:val="002F39B0"/>
    <w:rsid w:val="002F401C"/>
    <w:rsid w:val="002F411A"/>
    <w:rsid w:val="0030041F"/>
    <w:rsid w:val="00302CDA"/>
    <w:rsid w:val="003055E1"/>
    <w:rsid w:val="0030571D"/>
    <w:rsid w:val="003060A0"/>
    <w:rsid w:val="00310C72"/>
    <w:rsid w:val="00310CE4"/>
    <w:rsid w:val="00312DB0"/>
    <w:rsid w:val="00314262"/>
    <w:rsid w:val="003144A8"/>
    <w:rsid w:val="00315E2D"/>
    <w:rsid w:val="00316577"/>
    <w:rsid w:val="003179B4"/>
    <w:rsid w:val="0032061E"/>
    <w:rsid w:val="00322845"/>
    <w:rsid w:val="00322F5A"/>
    <w:rsid w:val="003230B5"/>
    <w:rsid w:val="003233B2"/>
    <w:rsid w:val="00323D32"/>
    <w:rsid w:val="00323D86"/>
    <w:rsid w:val="00324378"/>
    <w:rsid w:val="00324C62"/>
    <w:rsid w:val="00325D5E"/>
    <w:rsid w:val="0032626E"/>
    <w:rsid w:val="00326F48"/>
    <w:rsid w:val="00331C65"/>
    <w:rsid w:val="003333E3"/>
    <w:rsid w:val="00333C82"/>
    <w:rsid w:val="00334381"/>
    <w:rsid w:val="00335C1E"/>
    <w:rsid w:val="00337D94"/>
    <w:rsid w:val="00340980"/>
    <w:rsid w:val="0034110D"/>
    <w:rsid w:val="00341805"/>
    <w:rsid w:val="00342F8C"/>
    <w:rsid w:val="00344F73"/>
    <w:rsid w:val="0034554E"/>
    <w:rsid w:val="003478DE"/>
    <w:rsid w:val="003503B0"/>
    <w:rsid w:val="00356C71"/>
    <w:rsid w:val="003575CF"/>
    <w:rsid w:val="0035772C"/>
    <w:rsid w:val="00360673"/>
    <w:rsid w:val="00364CB8"/>
    <w:rsid w:val="00366019"/>
    <w:rsid w:val="003712DE"/>
    <w:rsid w:val="003716D4"/>
    <w:rsid w:val="00371BCB"/>
    <w:rsid w:val="00371E5B"/>
    <w:rsid w:val="0037246C"/>
    <w:rsid w:val="00373C93"/>
    <w:rsid w:val="00375469"/>
    <w:rsid w:val="003754DA"/>
    <w:rsid w:val="00375E8D"/>
    <w:rsid w:val="0037732C"/>
    <w:rsid w:val="003773BD"/>
    <w:rsid w:val="00380549"/>
    <w:rsid w:val="00382849"/>
    <w:rsid w:val="00383E4D"/>
    <w:rsid w:val="00384827"/>
    <w:rsid w:val="00385258"/>
    <w:rsid w:val="00386984"/>
    <w:rsid w:val="003869C1"/>
    <w:rsid w:val="00391ABD"/>
    <w:rsid w:val="00393C8D"/>
    <w:rsid w:val="00395A2F"/>
    <w:rsid w:val="00395AA5"/>
    <w:rsid w:val="00396D17"/>
    <w:rsid w:val="0039762D"/>
    <w:rsid w:val="003A103E"/>
    <w:rsid w:val="003A1CDE"/>
    <w:rsid w:val="003A3435"/>
    <w:rsid w:val="003A350F"/>
    <w:rsid w:val="003A3DD9"/>
    <w:rsid w:val="003A5C2C"/>
    <w:rsid w:val="003A5DE0"/>
    <w:rsid w:val="003A6BBA"/>
    <w:rsid w:val="003B067E"/>
    <w:rsid w:val="003B2779"/>
    <w:rsid w:val="003B2CAA"/>
    <w:rsid w:val="003B4659"/>
    <w:rsid w:val="003B6252"/>
    <w:rsid w:val="003B6C43"/>
    <w:rsid w:val="003B7130"/>
    <w:rsid w:val="003B7463"/>
    <w:rsid w:val="003C08BD"/>
    <w:rsid w:val="003C09E5"/>
    <w:rsid w:val="003C1F7D"/>
    <w:rsid w:val="003C5799"/>
    <w:rsid w:val="003C57F8"/>
    <w:rsid w:val="003C59F5"/>
    <w:rsid w:val="003C773C"/>
    <w:rsid w:val="003D23AD"/>
    <w:rsid w:val="003D442B"/>
    <w:rsid w:val="003D4FFF"/>
    <w:rsid w:val="003D72C4"/>
    <w:rsid w:val="003D7C8C"/>
    <w:rsid w:val="003E049F"/>
    <w:rsid w:val="003E0C6A"/>
    <w:rsid w:val="003E1286"/>
    <w:rsid w:val="003E1E45"/>
    <w:rsid w:val="003E1F8B"/>
    <w:rsid w:val="003E457E"/>
    <w:rsid w:val="003E4FD1"/>
    <w:rsid w:val="003F0196"/>
    <w:rsid w:val="003F08B3"/>
    <w:rsid w:val="003F0CD0"/>
    <w:rsid w:val="003F2249"/>
    <w:rsid w:val="003F2663"/>
    <w:rsid w:val="003F432B"/>
    <w:rsid w:val="003F4E6A"/>
    <w:rsid w:val="003F5913"/>
    <w:rsid w:val="003F7646"/>
    <w:rsid w:val="00400E18"/>
    <w:rsid w:val="00401D8E"/>
    <w:rsid w:val="004021BB"/>
    <w:rsid w:val="00404393"/>
    <w:rsid w:val="00405CC5"/>
    <w:rsid w:val="0040715A"/>
    <w:rsid w:val="00411525"/>
    <w:rsid w:val="004127E1"/>
    <w:rsid w:val="004130E8"/>
    <w:rsid w:val="004133FA"/>
    <w:rsid w:val="0041499E"/>
    <w:rsid w:val="00415CCF"/>
    <w:rsid w:val="004212D7"/>
    <w:rsid w:val="00421893"/>
    <w:rsid w:val="00421BFE"/>
    <w:rsid w:val="004228E7"/>
    <w:rsid w:val="004230EE"/>
    <w:rsid w:val="00423B22"/>
    <w:rsid w:val="00424BEC"/>
    <w:rsid w:val="00425DD4"/>
    <w:rsid w:val="004277B7"/>
    <w:rsid w:val="00427B90"/>
    <w:rsid w:val="00427CCB"/>
    <w:rsid w:val="00430A64"/>
    <w:rsid w:val="00431E0E"/>
    <w:rsid w:val="0043247A"/>
    <w:rsid w:val="00433077"/>
    <w:rsid w:val="00434912"/>
    <w:rsid w:val="00434F55"/>
    <w:rsid w:val="00435D8E"/>
    <w:rsid w:val="00437680"/>
    <w:rsid w:val="00437CF4"/>
    <w:rsid w:val="00441B8F"/>
    <w:rsid w:val="004433E2"/>
    <w:rsid w:val="004435EF"/>
    <w:rsid w:val="00443E83"/>
    <w:rsid w:val="004450B3"/>
    <w:rsid w:val="004458B9"/>
    <w:rsid w:val="00445BEA"/>
    <w:rsid w:val="00447B32"/>
    <w:rsid w:val="00451B06"/>
    <w:rsid w:val="004522FA"/>
    <w:rsid w:val="0045401F"/>
    <w:rsid w:val="00454191"/>
    <w:rsid w:val="0045564D"/>
    <w:rsid w:val="00455880"/>
    <w:rsid w:val="00455F81"/>
    <w:rsid w:val="00455FB2"/>
    <w:rsid w:val="00462BD9"/>
    <w:rsid w:val="00464A7A"/>
    <w:rsid w:val="00466604"/>
    <w:rsid w:val="00467A18"/>
    <w:rsid w:val="00470489"/>
    <w:rsid w:val="00470E0E"/>
    <w:rsid w:val="0047197B"/>
    <w:rsid w:val="00471C93"/>
    <w:rsid w:val="00472C4C"/>
    <w:rsid w:val="00473DBC"/>
    <w:rsid w:val="00475ABA"/>
    <w:rsid w:val="00475E96"/>
    <w:rsid w:val="0047661A"/>
    <w:rsid w:val="00476B08"/>
    <w:rsid w:val="0048074A"/>
    <w:rsid w:val="00481C75"/>
    <w:rsid w:val="00481CEC"/>
    <w:rsid w:val="00482678"/>
    <w:rsid w:val="00484A90"/>
    <w:rsid w:val="00485479"/>
    <w:rsid w:val="00485571"/>
    <w:rsid w:val="004876AB"/>
    <w:rsid w:val="00490EE3"/>
    <w:rsid w:val="00494EDC"/>
    <w:rsid w:val="004970D4"/>
    <w:rsid w:val="004A072F"/>
    <w:rsid w:val="004A12EA"/>
    <w:rsid w:val="004A402A"/>
    <w:rsid w:val="004A5837"/>
    <w:rsid w:val="004A6EE6"/>
    <w:rsid w:val="004A76BC"/>
    <w:rsid w:val="004B0B5F"/>
    <w:rsid w:val="004B19D3"/>
    <w:rsid w:val="004B1AB1"/>
    <w:rsid w:val="004B4DE3"/>
    <w:rsid w:val="004B6892"/>
    <w:rsid w:val="004B6FBE"/>
    <w:rsid w:val="004C2FF2"/>
    <w:rsid w:val="004C3044"/>
    <w:rsid w:val="004C33C0"/>
    <w:rsid w:val="004C3650"/>
    <w:rsid w:val="004C3C44"/>
    <w:rsid w:val="004D0200"/>
    <w:rsid w:val="004D3864"/>
    <w:rsid w:val="004D440A"/>
    <w:rsid w:val="004D6E06"/>
    <w:rsid w:val="004E2192"/>
    <w:rsid w:val="004E2FE5"/>
    <w:rsid w:val="004E3352"/>
    <w:rsid w:val="004E34DC"/>
    <w:rsid w:val="004E41AB"/>
    <w:rsid w:val="004E4270"/>
    <w:rsid w:val="004E4366"/>
    <w:rsid w:val="004E53FE"/>
    <w:rsid w:val="004E62BC"/>
    <w:rsid w:val="004E7A91"/>
    <w:rsid w:val="004F11B7"/>
    <w:rsid w:val="004F1840"/>
    <w:rsid w:val="004F2FA0"/>
    <w:rsid w:val="004F37BA"/>
    <w:rsid w:val="004F3C27"/>
    <w:rsid w:val="004F4497"/>
    <w:rsid w:val="004F62F2"/>
    <w:rsid w:val="004F6429"/>
    <w:rsid w:val="004F77E1"/>
    <w:rsid w:val="004F7A3A"/>
    <w:rsid w:val="00501DAD"/>
    <w:rsid w:val="005033CE"/>
    <w:rsid w:val="00505260"/>
    <w:rsid w:val="005076EC"/>
    <w:rsid w:val="005122FB"/>
    <w:rsid w:val="00512493"/>
    <w:rsid w:val="005131E5"/>
    <w:rsid w:val="00513383"/>
    <w:rsid w:val="00513C3A"/>
    <w:rsid w:val="005140B6"/>
    <w:rsid w:val="005149DD"/>
    <w:rsid w:val="0052223F"/>
    <w:rsid w:val="00522546"/>
    <w:rsid w:val="00523FDB"/>
    <w:rsid w:val="00525396"/>
    <w:rsid w:val="005268F0"/>
    <w:rsid w:val="0053243C"/>
    <w:rsid w:val="00534634"/>
    <w:rsid w:val="0053562C"/>
    <w:rsid w:val="00536A5F"/>
    <w:rsid w:val="00537715"/>
    <w:rsid w:val="00537D25"/>
    <w:rsid w:val="00540900"/>
    <w:rsid w:val="005411A5"/>
    <w:rsid w:val="00542A96"/>
    <w:rsid w:val="00542B97"/>
    <w:rsid w:val="00543B79"/>
    <w:rsid w:val="00543E92"/>
    <w:rsid w:val="00544C6A"/>
    <w:rsid w:val="00544F8B"/>
    <w:rsid w:val="0054636C"/>
    <w:rsid w:val="00547FCD"/>
    <w:rsid w:val="00557513"/>
    <w:rsid w:val="00561D35"/>
    <w:rsid w:val="00562C07"/>
    <w:rsid w:val="005634CB"/>
    <w:rsid w:val="005635E6"/>
    <w:rsid w:val="00564089"/>
    <w:rsid w:val="00567BC2"/>
    <w:rsid w:val="005708C9"/>
    <w:rsid w:val="0057118D"/>
    <w:rsid w:val="00576DDE"/>
    <w:rsid w:val="00577081"/>
    <w:rsid w:val="00585650"/>
    <w:rsid w:val="00585742"/>
    <w:rsid w:val="00587543"/>
    <w:rsid w:val="00591719"/>
    <w:rsid w:val="00595636"/>
    <w:rsid w:val="005966B0"/>
    <w:rsid w:val="00597AD2"/>
    <w:rsid w:val="00597B2B"/>
    <w:rsid w:val="00597D9E"/>
    <w:rsid w:val="005A16F7"/>
    <w:rsid w:val="005A3D25"/>
    <w:rsid w:val="005A688F"/>
    <w:rsid w:val="005B0FA2"/>
    <w:rsid w:val="005B13EA"/>
    <w:rsid w:val="005B3784"/>
    <w:rsid w:val="005B6284"/>
    <w:rsid w:val="005C0B0A"/>
    <w:rsid w:val="005C0BEA"/>
    <w:rsid w:val="005C2AAE"/>
    <w:rsid w:val="005C658F"/>
    <w:rsid w:val="005D0644"/>
    <w:rsid w:val="005D1C49"/>
    <w:rsid w:val="005D29B0"/>
    <w:rsid w:val="005D3DC5"/>
    <w:rsid w:val="005D55F8"/>
    <w:rsid w:val="005D7F9F"/>
    <w:rsid w:val="005E175D"/>
    <w:rsid w:val="005E2D0D"/>
    <w:rsid w:val="005E5D7D"/>
    <w:rsid w:val="005E7E95"/>
    <w:rsid w:val="005F16DE"/>
    <w:rsid w:val="005F1CB9"/>
    <w:rsid w:val="005F2CEE"/>
    <w:rsid w:val="005F5545"/>
    <w:rsid w:val="005F6A35"/>
    <w:rsid w:val="00600545"/>
    <w:rsid w:val="00601AEF"/>
    <w:rsid w:val="006021A4"/>
    <w:rsid w:val="00604B43"/>
    <w:rsid w:val="00606204"/>
    <w:rsid w:val="006065E5"/>
    <w:rsid w:val="0061048D"/>
    <w:rsid w:val="00610708"/>
    <w:rsid w:val="00610C0B"/>
    <w:rsid w:val="00613AEF"/>
    <w:rsid w:val="00614AC4"/>
    <w:rsid w:val="00617314"/>
    <w:rsid w:val="00617A8C"/>
    <w:rsid w:val="0062087C"/>
    <w:rsid w:val="00623ACD"/>
    <w:rsid w:val="006264A7"/>
    <w:rsid w:val="00627B45"/>
    <w:rsid w:val="00630227"/>
    <w:rsid w:val="0063171D"/>
    <w:rsid w:val="00631D97"/>
    <w:rsid w:val="0063502E"/>
    <w:rsid w:val="00635E55"/>
    <w:rsid w:val="00637830"/>
    <w:rsid w:val="00637D92"/>
    <w:rsid w:val="00637E8C"/>
    <w:rsid w:val="00641332"/>
    <w:rsid w:val="00643F09"/>
    <w:rsid w:val="006449A4"/>
    <w:rsid w:val="00645AE4"/>
    <w:rsid w:val="006461F1"/>
    <w:rsid w:val="006462A8"/>
    <w:rsid w:val="00646A72"/>
    <w:rsid w:val="006504E6"/>
    <w:rsid w:val="00651BB8"/>
    <w:rsid w:val="00652A02"/>
    <w:rsid w:val="00653C50"/>
    <w:rsid w:val="00654364"/>
    <w:rsid w:val="0065480B"/>
    <w:rsid w:val="00660244"/>
    <w:rsid w:val="006604DB"/>
    <w:rsid w:val="00662638"/>
    <w:rsid w:val="00662AF3"/>
    <w:rsid w:val="00662BF1"/>
    <w:rsid w:val="00664BA6"/>
    <w:rsid w:val="00666CA6"/>
    <w:rsid w:val="00667B31"/>
    <w:rsid w:val="006717EA"/>
    <w:rsid w:val="00671859"/>
    <w:rsid w:val="00672F1F"/>
    <w:rsid w:val="0067478F"/>
    <w:rsid w:val="0067526D"/>
    <w:rsid w:val="00676049"/>
    <w:rsid w:val="0068081D"/>
    <w:rsid w:val="006810B2"/>
    <w:rsid w:val="006812DF"/>
    <w:rsid w:val="00683591"/>
    <w:rsid w:val="00683682"/>
    <w:rsid w:val="006849A0"/>
    <w:rsid w:val="00686B84"/>
    <w:rsid w:val="00691715"/>
    <w:rsid w:val="00695790"/>
    <w:rsid w:val="0069696C"/>
    <w:rsid w:val="006A2247"/>
    <w:rsid w:val="006A2481"/>
    <w:rsid w:val="006A39BC"/>
    <w:rsid w:val="006A469D"/>
    <w:rsid w:val="006A7A76"/>
    <w:rsid w:val="006B10FF"/>
    <w:rsid w:val="006B15C9"/>
    <w:rsid w:val="006B1683"/>
    <w:rsid w:val="006B1C62"/>
    <w:rsid w:val="006B33AB"/>
    <w:rsid w:val="006B5BD3"/>
    <w:rsid w:val="006B725A"/>
    <w:rsid w:val="006B77A9"/>
    <w:rsid w:val="006C155D"/>
    <w:rsid w:val="006C21DE"/>
    <w:rsid w:val="006C375E"/>
    <w:rsid w:val="006C5892"/>
    <w:rsid w:val="006C5FA7"/>
    <w:rsid w:val="006D0055"/>
    <w:rsid w:val="006D0351"/>
    <w:rsid w:val="006D3180"/>
    <w:rsid w:val="006D40A2"/>
    <w:rsid w:val="006D4B10"/>
    <w:rsid w:val="006D55CF"/>
    <w:rsid w:val="006D5EC5"/>
    <w:rsid w:val="006D6223"/>
    <w:rsid w:val="006D6AF2"/>
    <w:rsid w:val="006D7A7E"/>
    <w:rsid w:val="006E0C9E"/>
    <w:rsid w:val="006E0F83"/>
    <w:rsid w:val="006E1523"/>
    <w:rsid w:val="006E4044"/>
    <w:rsid w:val="006E7FAA"/>
    <w:rsid w:val="006F0E85"/>
    <w:rsid w:val="006F25E6"/>
    <w:rsid w:val="006F441B"/>
    <w:rsid w:val="006F5198"/>
    <w:rsid w:val="006F5896"/>
    <w:rsid w:val="006F5B2B"/>
    <w:rsid w:val="00702A70"/>
    <w:rsid w:val="00702DC1"/>
    <w:rsid w:val="00703BAD"/>
    <w:rsid w:val="007055DE"/>
    <w:rsid w:val="007071FA"/>
    <w:rsid w:val="00711970"/>
    <w:rsid w:val="007128C4"/>
    <w:rsid w:val="00712E4F"/>
    <w:rsid w:val="00714F25"/>
    <w:rsid w:val="007157DC"/>
    <w:rsid w:val="00716030"/>
    <w:rsid w:val="00716344"/>
    <w:rsid w:val="007206F4"/>
    <w:rsid w:val="0072100B"/>
    <w:rsid w:val="00723C09"/>
    <w:rsid w:val="00724823"/>
    <w:rsid w:val="00724871"/>
    <w:rsid w:val="00725337"/>
    <w:rsid w:val="007274DB"/>
    <w:rsid w:val="0072758C"/>
    <w:rsid w:val="00727F54"/>
    <w:rsid w:val="00732486"/>
    <w:rsid w:val="00732870"/>
    <w:rsid w:val="007358C9"/>
    <w:rsid w:val="00735B19"/>
    <w:rsid w:val="00736665"/>
    <w:rsid w:val="00736800"/>
    <w:rsid w:val="0074037A"/>
    <w:rsid w:val="00741DFC"/>
    <w:rsid w:val="00744F70"/>
    <w:rsid w:val="00745271"/>
    <w:rsid w:val="0074574E"/>
    <w:rsid w:val="007462DF"/>
    <w:rsid w:val="00746FD2"/>
    <w:rsid w:val="00750859"/>
    <w:rsid w:val="00752B10"/>
    <w:rsid w:val="007558B0"/>
    <w:rsid w:val="007575BE"/>
    <w:rsid w:val="0076202B"/>
    <w:rsid w:val="007632EF"/>
    <w:rsid w:val="00763A2A"/>
    <w:rsid w:val="00767005"/>
    <w:rsid w:val="00767849"/>
    <w:rsid w:val="007710AA"/>
    <w:rsid w:val="0077398F"/>
    <w:rsid w:val="007758E6"/>
    <w:rsid w:val="00775DBA"/>
    <w:rsid w:val="00776744"/>
    <w:rsid w:val="00777954"/>
    <w:rsid w:val="0078153C"/>
    <w:rsid w:val="0078240E"/>
    <w:rsid w:val="00784FE7"/>
    <w:rsid w:val="007851AB"/>
    <w:rsid w:val="0078622F"/>
    <w:rsid w:val="007904CB"/>
    <w:rsid w:val="00793A94"/>
    <w:rsid w:val="00795656"/>
    <w:rsid w:val="00795D40"/>
    <w:rsid w:val="00796A8F"/>
    <w:rsid w:val="00796D3E"/>
    <w:rsid w:val="00797001"/>
    <w:rsid w:val="00797B15"/>
    <w:rsid w:val="007A08A4"/>
    <w:rsid w:val="007A2E87"/>
    <w:rsid w:val="007A44ED"/>
    <w:rsid w:val="007A4B4F"/>
    <w:rsid w:val="007A6DB4"/>
    <w:rsid w:val="007B0EF6"/>
    <w:rsid w:val="007B1D42"/>
    <w:rsid w:val="007B2520"/>
    <w:rsid w:val="007B29EB"/>
    <w:rsid w:val="007B7012"/>
    <w:rsid w:val="007C06AF"/>
    <w:rsid w:val="007C2A2A"/>
    <w:rsid w:val="007C313B"/>
    <w:rsid w:val="007C3342"/>
    <w:rsid w:val="007C47D7"/>
    <w:rsid w:val="007C6C3E"/>
    <w:rsid w:val="007C7D10"/>
    <w:rsid w:val="007D0E82"/>
    <w:rsid w:val="007D2D10"/>
    <w:rsid w:val="007D4226"/>
    <w:rsid w:val="007D56B2"/>
    <w:rsid w:val="007E033A"/>
    <w:rsid w:val="007E109E"/>
    <w:rsid w:val="007E19CE"/>
    <w:rsid w:val="007E57C0"/>
    <w:rsid w:val="007F0521"/>
    <w:rsid w:val="007F13FF"/>
    <w:rsid w:val="007F2871"/>
    <w:rsid w:val="007F2F5B"/>
    <w:rsid w:val="007F5093"/>
    <w:rsid w:val="007F59B8"/>
    <w:rsid w:val="007F7994"/>
    <w:rsid w:val="0080419D"/>
    <w:rsid w:val="0080426D"/>
    <w:rsid w:val="0080640F"/>
    <w:rsid w:val="008106DC"/>
    <w:rsid w:val="00814B4C"/>
    <w:rsid w:val="00816F42"/>
    <w:rsid w:val="00821B5D"/>
    <w:rsid w:val="00822B64"/>
    <w:rsid w:val="00822EFE"/>
    <w:rsid w:val="00823DC3"/>
    <w:rsid w:val="00824ACA"/>
    <w:rsid w:val="0083041C"/>
    <w:rsid w:val="008326E3"/>
    <w:rsid w:val="00833D10"/>
    <w:rsid w:val="008344BA"/>
    <w:rsid w:val="00834867"/>
    <w:rsid w:val="00836369"/>
    <w:rsid w:val="008403FF"/>
    <w:rsid w:val="00840DCB"/>
    <w:rsid w:val="00840E10"/>
    <w:rsid w:val="008428E4"/>
    <w:rsid w:val="00843FC6"/>
    <w:rsid w:val="008463A3"/>
    <w:rsid w:val="00846502"/>
    <w:rsid w:val="00846939"/>
    <w:rsid w:val="00850BD0"/>
    <w:rsid w:val="008522C9"/>
    <w:rsid w:val="008535F7"/>
    <w:rsid w:val="0085428C"/>
    <w:rsid w:val="00855B88"/>
    <w:rsid w:val="00856CF5"/>
    <w:rsid w:val="008578C2"/>
    <w:rsid w:val="00860849"/>
    <w:rsid w:val="00860E85"/>
    <w:rsid w:val="008617AE"/>
    <w:rsid w:val="008638C9"/>
    <w:rsid w:val="008656AF"/>
    <w:rsid w:val="00865C40"/>
    <w:rsid w:val="00865C46"/>
    <w:rsid w:val="00867058"/>
    <w:rsid w:val="00871A6C"/>
    <w:rsid w:val="00871BD0"/>
    <w:rsid w:val="00871E4F"/>
    <w:rsid w:val="008724B4"/>
    <w:rsid w:val="00873B40"/>
    <w:rsid w:val="00874CB4"/>
    <w:rsid w:val="00875A57"/>
    <w:rsid w:val="00876A0C"/>
    <w:rsid w:val="008771EC"/>
    <w:rsid w:val="008774BB"/>
    <w:rsid w:val="00877B70"/>
    <w:rsid w:val="00877CDC"/>
    <w:rsid w:val="0088025E"/>
    <w:rsid w:val="00882A5E"/>
    <w:rsid w:val="00884D18"/>
    <w:rsid w:val="00885A02"/>
    <w:rsid w:val="00886FD9"/>
    <w:rsid w:val="008874CE"/>
    <w:rsid w:val="00890BDD"/>
    <w:rsid w:val="0089106B"/>
    <w:rsid w:val="00891C36"/>
    <w:rsid w:val="00896456"/>
    <w:rsid w:val="00896C88"/>
    <w:rsid w:val="008A4110"/>
    <w:rsid w:val="008A5B8A"/>
    <w:rsid w:val="008A6122"/>
    <w:rsid w:val="008A64FE"/>
    <w:rsid w:val="008A77BF"/>
    <w:rsid w:val="008B0C0A"/>
    <w:rsid w:val="008B123C"/>
    <w:rsid w:val="008B45E1"/>
    <w:rsid w:val="008B533B"/>
    <w:rsid w:val="008B7477"/>
    <w:rsid w:val="008C0F55"/>
    <w:rsid w:val="008C21E0"/>
    <w:rsid w:val="008C257F"/>
    <w:rsid w:val="008C31E7"/>
    <w:rsid w:val="008C48CC"/>
    <w:rsid w:val="008C51B5"/>
    <w:rsid w:val="008C5E87"/>
    <w:rsid w:val="008C5FD1"/>
    <w:rsid w:val="008C7B72"/>
    <w:rsid w:val="008C7B89"/>
    <w:rsid w:val="008D30A9"/>
    <w:rsid w:val="008D53F1"/>
    <w:rsid w:val="008D692C"/>
    <w:rsid w:val="008E1914"/>
    <w:rsid w:val="008E510E"/>
    <w:rsid w:val="008E53AC"/>
    <w:rsid w:val="008E61FC"/>
    <w:rsid w:val="008E6341"/>
    <w:rsid w:val="008E6F49"/>
    <w:rsid w:val="008E7D6D"/>
    <w:rsid w:val="008F1AAC"/>
    <w:rsid w:val="008F1E5C"/>
    <w:rsid w:val="008F2469"/>
    <w:rsid w:val="009019AF"/>
    <w:rsid w:val="00901FEA"/>
    <w:rsid w:val="00902092"/>
    <w:rsid w:val="009034DF"/>
    <w:rsid w:val="0090387E"/>
    <w:rsid w:val="00903FFC"/>
    <w:rsid w:val="00904FA8"/>
    <w:rsid w:val="0090535D"/>
    <w:rsid w:val="00905C51"/>
    <w:rsid w:val="00907D44"/>
    <w:rsid w:val="00910D85"/>
    <w:rsid w:val="0091259B"/>
    <w:rsid w:val="009200C0"/>
    <w:rsid w:val="00920760"/>
    <w:rsid w:val="009211FB"/>
    <w:rsid w:val="0092230B"/>
    <w:rsid w:val="00922356"/>
    <w:rsid w:val="009231A0"/>
    <w:rsid w:val="00925255"/>
    <w:rsid w:val="009260A5"/>
    <w:rsid w:val="00926B05"/>
    <w:rsid w:val="009272D0"/>
    <w:rsid w:val="00931424"/>
    <w:rsid w:val="009326EF"/>
    <w:rsid w:val="009351B2"/>
    <w:rsid w:val="00937598"/>
    <w:rsid w:val="00937991"/>
    <w:rsid w:val="0094105D"/>
    <w:rsid w:val="009431A2"/>
    <w:rsid w:val="00943DD7"/>
    <w:rsid w:val="00944D6D"/>
    <w:rsid w:val="009455D3"/>
    <w:rsid w:val="00946B6C"/>
    <w:rsid w:val="00947602"/>
    <w:rsid w:val="00947FEB"/>
    <w:rsid w:val="00950B63"/>
    <w:rsid w:val="00951781"/>
    <w:rsid w:val="00952041"/>
    <w:rsid w:val="00952405"/>
    <w:rsid w:val="00952D71"/>
    <w:rsid w:val="00957A8F"/>
    <w:rsid w:val="00960E77"/>
    <w:rsid w:val="00963FC3"/>
    <w:rsid w:val="0096505F"/>
    <w:rsid w:val="00965EAF"/>
    <w:rsid w:val="00966B44"/>
    <w:rsid w:val="00967F71"/>
    <w:rsid w:val="0097073B"/>
    <w:rsid w:val="0097186C"/>
    <w:rsid w:val="009765E5"/>
    <w:rsid w:val="00980051"/>
    <w:rsid w:val="009807C6"/>
    <w:rsid w:val="009815DA"/>
    <w:rsid w:val="009820C5"/>
    <w:rsid w:val="00984FA6"/>
    <w:rsid w:val="00985A74"/>
    <w:rsid w:val="009862C1"/>
    <w:rsid w:val="009864C4"/>
    <w:rsid w:val="00986EFD"/>
    <w:rsid w:val="009873E4"/>
    <w:rsid w:val="009902DB"/>
    <w:rsid w:val="00990838"/>
    <w:rsid w:val="0099239E"/>
    <w:rsid w:val="00992AAD"/>
    <w:rsid w:val="00994F26"/>
    <w:rsid w:val="009953A0"/>
    <w:rsid w:val="00995FDC"/>
    <w:rsid w:val="009964E1"/>
    <w:rsid w:val="009966A4"/>
    <w:rsid w:val="009A09E7"/>
    <w:rsid w:val="009A251A"/>
    <w:rsid w:val="009A2855"/>
    <w:rsid w:val="009A2BDF"/>
    <w:rsid w:val="009A385D"/>
    <w:rsid w:val="009A4E63"/>
    <w:rsid w:val="009A51F0"/>
    <w:rsid w:val="009A779C"/>
    <w:rsid w:val="009B2E50"/>
    <w:rsid w:val="009B2F32"/>
    <w:rsid w:val="009B4D01"/>
    <w:rsid w:val="009B69BC"/>
    <w:rsid w:val="009B70BF"/>
    <w:rsid w:val="009C14EC"/>
    <w:rsid w:val="009C42B5"/>
    <w:rsid w:val="009C4C98"/>
    <w:rsid w:val="009C4EA7"/>
    <w:rsid w:val="009C7F0B"/>
    <w:rsid w:val="009D08BF"/>
    <w:rsid w:val="009D1DD7"/>
    <w:rsid w:val="009D31FB"/>
    <w:rsid w:val="009D3275"/>
    <w:rsid w:val="009D33BD"/>
    <w:rsid w:val="009E017B"/>
    <w:rsid w:val="009E085B"/>
    <w:rsid w:val="009E0A31"/>
    <w:rsid w:val="009E0E0D"/>
    <w:rsid w:val="009E13A8"/>
    <w:rsid w:val="009E1CE9"/>
    <w:rsid w:val="009E2AED"/>
    <w:rsid w:val="009E4767"/>
    <w:rsid w:val="009E5176"/>
    <w:rsid w:val="009E598E"/>
    <w:rsid w:val="009E60FE"/>
    <w:rsid w:val="009F1192"/>
    <w:rsid w:val="009F1BF2"/>
    <w:rsid w:val="009F216F"/>
    <w:rsid w:val="009F3654"/>
    <w:rsid w:val="009F4ADE"/>
    <w:rsid w:val="009F67C8"/>
    <w:rsid w:val="00A00A8B"/>
    <w:rsid w:val="00A0259A"/>
    <w:rsid w:val="00A031AF"/>
    <w:rsid w:val="00A03DF0"/>
    <w:rsid w:val="00A05553"/>
    <w:rsid w:val="00A07581"/>
    <w:rsid w:val="00A07BF0"/>
    <w:rsid w:val="00A10BA8"/>
    <w:rsid w:val="00A118A0"/>
    <w:rsid w:val="00A11D39"/>
    <w:rsid w:val="00A11D64"/>
    <w:rsid w:val="00A1239E"/>
    <w:rsid w:val="00A136EF"/>
    <w:rsid w:val="00A13D6B"/>
    <w:rsid w:val="00A14B20"/>
    <w:rsid w:val="00A16CDE"/>
    <w:rsid w:val="00A17980"/>
    <w:rsid w:val="00A210BC"/>
    <w:rsid w:val="00A233D6"/>
    <w:rsid w:val="00A238C4"/>
    <w:rsid w:val="00A23A69"/>
    <w:rsid w:val="00A2493B"/>
    <w:rsid w:val="00A25D6E"/>
    <w:rsid w:val="00A25DED"/>
    <w:rsid w:val="00A27CBC"/>
    <w:rsid w:val="00A30C8A"/>
    <w:rsid w:val="00A31106"/>
    <w:rsid w:val="00A31630"/>
    <w:rsid w:val="00A326F8"/>
    <w:rsid w:val="00A35D04"/>
    <w:rsid w:val="00A36AA8"/>
    <w:rsid w:val="00A37E26"/>
    <w:rsid w:val="00A40D20"/>
    <w:rsid w:val="00A414E4"/>
    <w:rsid w:val="00A440E0"/>
    <w:rsid w:val="00A458A5"/>
    <w:rsid w:val="00A45932"/>
    <w:rsid w:val="00A45D91"/>
    <w:rsid w:val="00A45E38"/>
    <w:rsid w:val="00A46331"/>
    <w:rsid w:val="00A501D9"/>
    <w:rsid w:val="00A50954"/>
    <w:rsid w:val="00A50D12"/>
    <w:rsid w:val="00A50F0D"/>
    <w:rsid w:val="00A526CF"/>
    <w:rsid w:val="00A5288A"/>
    <w:rsid w:val="00A528F1"/>
    <w:rsid w:val="00A537E5"/>
    <w:rsid w:val="00A544D5"/>
    <w:rsid w:val="00A56384"/>
    <w:rsid w:val="00A60580"/>
    <w:rsid w:val="00A608D8"/>
    <w:rsid w:val="00A6227F"/>
    <w:rsid w:val="00A64377"/>
    <w:rsid w:val="00A65D9A"/>
    <w:rsid w:val="00A676DA"/>
    <w:rsid w:val="00A72B2A"/>
    <w:rsid w:val="00A740C1"/>
    <w:rsid w:val="00A743DE"/>
    <w:rsid w:val="00A75B8A"/>
    <w:rsid w:val="00A75D10"/>
    <w:rsid w:val="00A773B7"/>
    <w:rsid w:val="00A77F91"/>
    <w:rsid w:val="00A812EB"/>
    <w:rsid w:val="00A82049"/>
    <w:rsid w:val="00A824DC"/>
    <w:rsid w:val="00A8366A"/>
    <w:rsid w:val="00A84003"/>
    <w:rsid w:val="00A85C03"/>
    <w:rsid w:val="00A868F5"/>
    <w:rsid w:val="00A87906"/>
    <w:rsid w:val="00A93A13"/>
    <w:rsid w:val="00A942A9"/>
    <w:rsid w:val="00A952F4"/>
    <w:rsid w:val="00A95A84"/>
    <w:rsid w:val="00A967D9"/>
    <w:rsid w:val="00AA05E6"/>
    <w:rsid w:val="00AA2CEB"/>
    <w:rsid w:val="00AA367D"/>
    <w:rsid w:val="00AA3A06"/>
    <w:rsid w:val="00AA4DFC"/>
    <w:rsid w:val="00AA53AF"/>
    <w:rsid w:val="00AA79C8"/>
    <w:rsid w:val="00AA7DC3"/>
    <w:rsid w:val="00AB0A6E"/>
    <w:rsid w:val="00AB0CC5"/>
    <w:rsid w:val="00AB2E4F"/>
    <w:rsid w:val="00AB494B"/>
    <w:rsid w:val="00AB5139"/>
    <w:rsid w:val="00AB61F4"/>
    <w:rsid w:val="00AB65FE"/>
    <w:rsid w:val="00AC3679"/>
    <w:rsid w:val="00AC3FBC"/>
    <w:rsid w:val="00AC4573"/>
    <w:rsid w:val="00AC4606"/>
    <w:rsid w:val="00AC7441"/>
    <w:rsid w:val="00AD14B3"/>
    <w:rsid w:val="00AD1748"/>
    <w:rsid w:val="00AD2654"/>
    <w:rsid w:val="00AD2B23"/>
    <w:rsid w:val="00AD2D09"/>
    <w:rsid w:val="00AD4625"/>
    <w:rsid w:val="00AD51DA"/>
    <w:rsid w:val="00AD6CD7"/>
    <w:rsid w:val="00AE303C"/>
    <w:rsid w:val="00AE32D3"/>
    <w:rsid w:val="00AE46C4"/>
    <w:rsid w:val="00AE4ED0"/>
    <w:rsid w:val="00AE7B0F"/>
    <w:rsid w:val="00AF10A5"/>
    <w:rsid w:val="00AF44A7"/>
    <w:rsid w:val="00AF5F75"/>
    <w:rsid w:val="00B005DC"/>
    <w:rsid w:val="00B0250D"/>
    <w:rsid w:val="00B026AA"/>
    <w:rsid w:val="00B02F77"/>
    <w:rsid w:val="00B03420"/>
    <w:rsid w:val="00B0342A"/>
    <w:rsid w:val="00B05A17"/>
    <w:rsid w:val="00B066F6"/>
    <w:rsid w:val="00B066FC"/>
    <w:rsid w:val="00B0676D"/>
    <w:rsid w:val="00B068B8"/>
    <w:rsid w:val="00B06FAE"/>
    <w:rsid w:val="00B074F2"/>
    <w:rsid w:val="00B10778"/>
    <w:rsid w:val="00B11B59"/>
    <w:rsid w:val="00B13554"/>
    <w:rsid w:val="00B13DA5"/>
    <w:rsid w:val="00B14755"/>
    <w:rsid w:val="00B160D6"/>
    <w:rsid w:val="00B161C8"/>
    <w:rsid w:val="00B17FB9"/>
    <w:rsid w:val="00B2103F"/>
    <w:rsid w:val="00B23150"/>
    <w:rsid w:val="00B274BD"/>
    <w:rsid w:val="00B313A9"/>
    <w:rsid w:val="00B3318E"/>
    <w:rsid w:val="00B3628A"/>
    <w:rsid w:val="00B40620"/>
    <w:rsid w:val="00B4094A"/>
    <w:rsid w:val="00B41C6B"/>
    <w:rsid w:val="00B45A47"/>
    <w:rsid w:val="00B47D71"/>
    <w:rsid w:val="00B50A8B"/>
    <w:rsid w:val="00B51451"/>
    <w:rsid w:val="00B517C7"/>
    <w:rsid w:val="00B51C3D"/>
    <w:rsid w:val="00B53BB2"/>
    <w:rsid w:val="00B54E84"/>
    <w:rsid w:val="00B56BD4"/>
    <w:rsid w:val="00B56CE9"/>
    <w:rsid w:val="00B56E28"/>
    <w:rsid w:val="00B60694"/>
    <w:rsid w:val="00B60BD8"/>
    <w:rsid w:val="00B6154F"/>
    <w:rsid w:val="00B63E7B"/>
    <w:rsid w:val="00B65267"/>
    <w:rsid w:val="00B65450"/>
    <w:rsid w:val="00B663AA"/>
    <w:rsid w:val="00B7014F"/>
    <w:rsid w:val="00B7188D"/>
    <w:rsid w:val="00B720F8"/>
    <w:rsid w:val="00B721BD"/>
    <w:rsid w:val="00B72B11"/>
    <w:rsid w:val="00B72DBA"/>
    <w:rsid w:val="00B76B4C"/>
    <w:rsid w:val="00B80DDD"/>
    <w:rsid w:val="00B8171F"/>
    <w:rsid w:val="00B819EF"/>
    <w:rsid w:val="00B81C59"/>
    <w:rsid w:val="00B82A1E"/>
    <w:rsid w:val="00B82D13"/>
    <w:rsid w:val="00B83042"/>
    <w:rsid w:val="00B83E46"/>
    <w:rsid w:val="00B8750B"/>
    <w:rsid w:val="00B90573"/>
    <w:rsid w:val="00B92A3B"/>
    <w:rsid w:val="00B932ED"/>
    <w:rsid w:val="00B935D5"/>
    <w:rsid w:val="00B94300"/>
    <w:rsid w:val="00B95D7D"/>
    <w:rsid w:val="00B97239"/>
    <w:rsid w:val="00B97616"/>
    <w:rsid w:val="00B97BCD"/>
    <w:rsid w:val="00BA3498"/>
    <w:rsid w:val="00BA36DC"/>
    <w:rsid w:val="00BA3F32"/>
    <w:rsid w:val="00BA73AE"/>
    <w:rsid w:val="00BB1D9C"/>
    <w:rsid w:val="00BB25D0"/>
    <w:rsid w:val="00BB3CF2"/>
    <w:rsid w:val="00BB5183"/>
    <w:rsid w:val="00BB52D5"/>
    <w:rsid w:val="00BB7EE4"/>
    <w:rsid w:val="00BC02B1"/>
    <w:rsid w:val="00BC05B8"/>
    <w:rsid w:val="00BC192B"/>
    <w:rsid w:val="00BC214F"/>
    <w:rsid w:val="00BC603E"/>
    <w:rsid w:val="00BC6D89"/>
    <w:rsid w:val="00BD001C"/>
    <w:rsid w:val="00BD02C8"/>
    <w:rsid w:val="00BD0A52"/>
    <w:rsid w:val="00BD11F0"/>
    <w:rsid w:val="00BD1410"/>
    <w:rsid w:val="00BD20E8"/>
    <w:rsid w:val="00BD2308"/>
    <w:rsid w:val="00BD4A10"/>
    <w:rsid w:val="00BE1E4D"/>
    <w:rsid w:val="00BE2744"/>
    <w:rsid w:val="00BE2E40"/>
    <w:rsid w:val="00BE2EE0"/>
    <w:rsid w:val="00BE6E25"/>
    <w:rsid w:val="00BF0370"/>
    <w:rsid w:val="00BF0551"/>
    <w:rsid w:val="00BF1865"/>
    <w:rsid w:val="00BF2D60"/>
    <w:rsid w:val="00BF373A"/>
    <w:rsid w:val="00BF39D2"/>
    <w:rsid w:val="00BF3D45"/>
    <w:rsid w:val="00BF4B0A"/>
    <w:rsid w:val="00BF4C8E"/>
    <w:rsid w:val="00BF5FF8"/>
    <w:rsid w:val="00BF7E0F"/>
    <w:rsid w:val="00C03A9E"/>
    <w:rsid w:val="00C079B0"/>
    <w:rsid w:val="00C07BBB"/>
    <w:rsid w:val="00C10379"/>
    <w:rsid w:val="00C12414"/>
    <w:rsid w:val="00C13821"/>
    <w:rsid w:val="00C145ED"/>
    <w:rsid w:val="00C14CB1"/>
    <w:rsid w:val="00C15D43"/>
    <w:rsid w:val="00C16232"/>
    <w:rsid w:val="00C17145"/>
    <w:rsid w:val="00C20641"/>
    <w:rsid w:val="00C21581"/>
    <w:rsid w:val="00C24F8C"/>
    <w:rsid w:val="00C273DB"/>
    <w:rsid w:val="00C27CA8"/>
    <w:rsid w:val="00C27F56"/>
    <w:rsid w:val="00C33BEF"/>
    <w:rsid w:val="00C34816"/>
    <w:rsid w:val="00C35D32"/>
    <w:rsid w:val="00C37AD1"/>
    <w:rsid w:val="00C40528"/>
    <w:rsid w:val="00C43E97"/>
    <w:rsid w:val="00C47ABB"/>
    <w:rsid w:val="00C500D5"/>
    <w:rsid w:val="00C51803"/>
    <w:rsid w:val="00C55BF0"/>
    <w:rsid w:val="00C55FD5"/>
    <w:rsid w:val="00C56FD6"/>
    <w:rsid w:val="00C57FE2"/>
    <w:rsid w:val="00C60851"/>
    <w:rsid w:val="00C61EC6"/>
    <w:rsid w:val="00C62A27"/>
    <w:rsid w:val="00C6364C"/>
    <w:rsid w:val="00C638D0"/>
    <w:rsid w:val="00C639DB"/>
    <w:rsid w:val="00C64E6D"/>
    <w:rsid w:val="00C65D37"/>
    <w:rsid w:val="00C670BD"/>
    <w:rsid w:val="00C67D5F"/>
    <w:rsid w:val="00C70B1F"/>
    <w:rsid w:val="00C71E1D"/>
    <w:rsid w:val="00C72035"/>
    <w:rsid w:val="00C72715"/>
    <w:rsid w:val="00C72E8D"/>
    <w:rsid w:val="00C730D5"/>
    <w:rsid w:val="00C73D42"/>
    <w:rsid w:val="00C740F7"/>
    <w:rsid w:val="00C744B4"/>
    <w:rsid w:val="00C7500C"/>
    <w:rsid w:val="00C775AF"/>
    <w:rsid w:val="00C77E6C"/>
    <w:rsid w:val="00C8090A"/>
    <w:rsid w:val="00C80C9E"/>
    <w:rsid w:val="00C811A3"/>
    <w:rsid w:val="00C81C20"/>
    <w:rsid w:val="00C836E0"/>
    <w:rsid w:val="00C840E8"/>
    <w:rsid w:val="00C86808"/>
    <w:rsid w:val="00C8757E"/>
    <w:rsid w:val="00C95427"/>
    <w:rsid w:val="00C96A52"/>
    <w:rsid w:val="00CA0219"/>
    <w:rsid w:val="00CA0B69"/>
    <w:rsid w:val="00CA6F07"/>
    <w:rsid w:val="00CA79E7"/>
    <w:rsid w:val="00CB5C8A"/>
    <w:rsid w:val="00CB60D5"/>
    <w:rsid w:val="00CC3D04"/>
    <w:rsid w:val="00CC4017"/>
    <w:rsid w:val="00CC41AD"/>
    <w:rsid w:val="00CD1DEC"/>
    <w:rsid w:val="00CD3353"/>
    <w:rsid w:val="00CD351C"/>
    <w:rsid w:val="00CD4585"/>
    <w:rsid w:val="00CD512F"/>
    <w:rsid w:val="00CD542D"/>
    <w:rsid w:val="00CD66ED"/>
    <w:rsid w:val="00CD67B8"/>
    <w:rsid w:val="00CD6B6F"/>
    <w:rsid w:val="00CD6BDB"/>
    <w:rsid w:val="00CD75F3"/>
    <w:rsid w:val="00CE0830"/>
    <w:rsid w:val="00CE19C7"/>
    <w:rsid w:val="00CE2022"/>
    <w:rsid w:val="00CE293A"/>
    <w:rsid w:val="00CE3661"/>
    <w:rsid w:val="00CE3FEE"/>
    <w:rsid w:val="00CE55EB"/>
    <w:rsid w:val="00CF0B04"/>
    <w:rsid w:val="00CF495B"/>
    <w:rsid w:val="00CF7161"/>
    <w:rsid w:val="00CF7252"/>
    <w:rsid w:val="00D01483"/>
    <w:rsid w:val="00D02014"/>
    <w:rsid w:val="00D02A38"/>
    <w:rsid w:val="00D0429E"/>
    <w:rsid w:val="00D06AA1"/>
    <w:rsid w:val="00D06B82"/>
    <w:rsid w:val="00D103F8"/>
    <w:rsid w:val="00D10CD0"/>
    <w:rsid w:val="00D11161"/>
    <w:rsid w:val="00D11193"/>
    <w:rsid w:val="00D112B5"/>
    <w:rsid w:val="00D11F21"/>
    <w:rsid w:val="00D12561"/>
    <w:rsid w:val="00D134B5"/>
    <w:rsid w:val="00D16512"/>
    <w:rsid w:val="00D20678"/>
    <w:rsid w:val="00D218A2"/>
    <w:rsid w:val="00D23607"/>
    <w:rsid w:val="00D24E99"/>
    <w:rsid w:val="00D25AF7"/>
    <w:rsid w:val="00D25B49"/>
    <w:rsid w:val="00D27616"/>
    <w:rsid w:val="00D32453"/>
    <w:rsid w:val="00D32816"/>
    <w:rsid w:val="00D372D4"/>
    <w:rsid w:val="00D37553"/>
    <w:rsid w:val="00D40704"/>
    <w:rsid w:val="00D418E7"/>
    <w:rsid w:val="00D43D45"/>
    <w:rsid w:val="00D449D6"/>
    <w:rsid w:val="00D46161"/>
    <w:rsid w:val="00D474F5"/>
    <w:rsid w:val="00D5002D"/>
    <w:rsid w:val="00D5049A"/>
    <w:rsid w:val="00D514C9"/>
    <w:rsid w:val="00D51B5E"/>
    <w:rsid w:val="00D51BA4"/>
    <w:rsid w:val="00D51C8C"/>
    <w:rsid w:val="00D52059"/>
    <w:rsid w:val="00D52B26"/>
    <w:rsid w:val="00D5333E"/>
    <w:rsid w:val="00D54607"/>
    <w:rsid w:val="00D547B2"/>
    <w:rsid w:val="00D557D4"/>
    <w:rsid w:val="00D5599F"/>
    <w:rsid w:val="00D572A4"/>
    <w:rsid w:val="00D603AE"/>
    <w:rsid w:val="00D614BE"/>
    <w:rsid w:val="00D62E08"/>
    <w:rsid w:val="00D635F1"/>
    <w:rsid w:val="00D63FA0"/>
    <w:rsid w:val="00D659CE"/>
    <w:rsid w:val="00D673ED"/>
    <w:rsid w:val="00D70636"/>
    <w:rsid w:val="00D718F2"/>
    <w:rsid w:val="00D719DB"/>
    <w:rsid w:val="00D742DB"/>
    <w:rsid w:val="00D745B4"/>
    <w:rsid w:val="00D77728"/>
    <w:rsid w:val="00D779D8"/>
    <w:rsid w:val="00D8055E"/>
    <w:rsid w:val="00D82D9F"/>
    <w:rsid w:val="00D86220"/>
    <w:rsid w:val="00D863B4"/>
    <w:rsid w:val="00D9091D"/>
    <w:rsid w:val="00D92557"/>
    <w:rsid w:val="00D960D5"/>
    <w:rsid w:val="00D9786F"/>
    <w:rsid w:val="00DA0A97"/>
    <w:rsid w:val="00DA16D3"/>
    <w:rsid w:val="00DA1ADB"/>
    <w:rsid w:val="00DA1BAF"/>
    <w:rsid w:val="00DA21B4"/>
    <w:rsid w:val="00DA44E9"/>
    <w:rsid w:val="00DA4ED2"/>
    <w:rsid w:val="00DA5D88"/>
    <w:rsid w:val="00DA6BFB"/>
    <w:rsid w:val="00DA7348"/>
    <w:rsid w:val="00DB080D"/>
    <w:rsid w:val="00DB0BB0"/>
    <w:rsid w:val="00DB3CA6"/>
    <w:rsid w:val="00DB61CC"/>
    <w:rsid w:val="00DC27D3"/>
    <w:rsid w:val="00DC36A2"/>
    <w:rsid w:val="00DC37F5"/>
    <w:rsid w:val="00DC43A0"/>
    <w:rsid w:val="00DC6877"/>
    <w:rsid w:val="00DD0384"/>
    <w:rsid w:val="00DD2CEF"/>
    <w:rsid w:val="00DD4465"/>
    <w:rsid w:val="00DD7696"/>
    <w:rsid w:val="00DE0CB4"/>
    <w:rsid w:val="00DE1608"/>
    <w:rsid w:val="00DE2DF4"/>
    <w:rsid w:val="00DE3640"/>
    <w:rsid w:val="00DE6C74"/>
    <w:rsid w:val="00DF1959"/>
    <w:rsid w:val="00DF2072"/>
    <w:rsid w:val="00DF2D80"/>
    <w:rsid w:val="00DF481F"/>
    <w:rsid w:val="00DF5AAC"/>
    <w:rsid w:val="00DF697D"/>
    <w:rsid w:val="00DF7C22"/>
    <w:rsid w:val="00E0028D"/>
    <w:rsid w:val="00E009C7"/>
    <w:rsid w:val="00E02DAF"/>
    <w:rsid w:val="00E04BB4"/>
    <w:rsid w:val="00E055E8"/>
    <w:rsid w:val="00E06FC8"/>
    <w:rsid w:val="00E07B71"/>
    <w:rsid w:val="00E1146C"/>
    <w:rsid w:val="00E13E85"/>
    <w:rsid w:val="00E16446"/>
    <w:rsid w:val="00E167A7"/>
    <w:rsid w:val="00E1730C"/>
    <w:rsid w:val="00E21F8A"/>
    <w:rsid w:val="00E2336B"/>
    <w:rsid w:val="00E23CBB"/>
    <w:rsid w:val="00E24EF3"/>
    <w:rsid w:val="00E252A4"/>
    <w:rsid w:val="00E2564E"/>
    <w:rsid w:val="00E25ADD"/>
    <w:rsid w:val="00E276CC"/>
    <w:rsid w:val="00E308FE"/>
    <w:rsid w:val="00E312EA"/>
    <w:rsid w:val="00E343FF"/>
    <w:rsid w:val="00E35D5D"/>
    <w:rsid w:val="00E36E1B"/>
    <w:rsid w:val="00E42FAB"/>
    <w:rsid w:val="00E439F6"/>
    <w:rsid w:val="00E43D52"/>
    <w:rsid w:val="00E43EC5"/>
    <w:rsid w:val="00E46039"/>
    <w:rsid w:val="00E46A14"/>
    <w:rsid w:val="00E505B2"/>
    <w:rsid w:val="00E50D49"/>
    <w:rsid w:val="00E50E99"/>
    <w:rsid w:val="00E52ACD"/>
    <w:rsid w:val="00E539DB"/>
    <w:rsid w:val="00E543D8"/>
    <w:rsid w:val="00E54956"/>
    <w:rsid w:val="00E562AA"/>
    <w:rsid w:val="00E567FE"/>
    <w:rsid w:val="00E572F5"/>
    <w:rsid w:val="00E63958"/>
    <w:rsid w:val="00E644F3"/>
    <w:rsid w:val="00E64C20"/>
    <w:rsid w:val="00E6771A"/>
    <w:rsid w:val="00E67DCD"/>
    <w:rsid w:val="00E72A06"/>
    <w:rsid w:val="00E7498B"/>
    <w:rsid w:val="00E749C5"/>
    <w:rsid w:val="00E820D8"/>
    <w:rsid w:val="00E844EA"/>
    <w:rsid w:val="00E85C05"/>
    <w:rsid w:val="00E8609E"/>
    <w:rsid w:val="00E86B00"/>
    <w:rsid w:val="00E87AA0"/>
    <w:rsid w:val="00E91A75"/>
    <w:rsid w:val="00E92412"/>
    <w:rsid w:val="00E92451"/>
    <w:rsid w:val="00E93646"/>
    <w:rsid w:val="00E94C85"/>
    <w:rsid w:val="00E95415"/>
    <w:rsid w:val="00E9644C"/>
    <w:rsid w:val="00E9659D"/>
    <w:rsid w:val="00E96ACF"/>
    <w:rsid w:val="00E96B6A"/>
    <w:rsid w:val="00EA1981"/>
    <w:rsid w:val="00EA2994"/>
    <w:rsid w:val="00EA4151"/>
    <w:rsid w:val="00EA496E"/>
    <w:rsid w:val="00EA5C65"/>
    <w:rsid w:val="00EA6E2A"/>
    <w:rsid w:val="00EB0A23"/>
    <w:rsid w:val="00EB0BBD"/>
    <w:rsid w:val="00EB34B4"/>
    <w:rsid w:val="00EB5320"/>
    <w:rsid w:val="00EC0EF0"/>
    <w:rsid w:val="00EC31B4"/>
    <w:rsid w:val="00EC34B7"/>
    <w:rsid w:val="00EC56B1"/>
    <w:rsid w:val="00EC6249"/>
    <w:rsid w:val="00EC6544"/>
    <w:rsid w:val="00EC6597"/>
    <w:rsid w:val="00EC6733"/>
    <w:rsid w:val="00EC7028"/>
    <w:rsid w:val="00EC7A6F"/>
    <w:rsid w:val="00EC7EEC"/>
    <w:rsid w:val="00ED1115"/>
    <w:rsid w:val="00ED1151"/>
    <w:rsid w:val="00ED252A"/>
    <w:rsid w:val="00ED4347"/>
    <w:rsid w:val="00ED44DA"/>
    <w:rsid w:val="00EE0391"/>
    <w:rsid w:val="00EE0674"/>
    <w:rsid w:val="00EE1C67"/>
    <w:rsid w:val="00EE42B0"/>
    <w:rsid w:val="00EE631E"/>
    <w:rsid w:val="00EE68D3"/>
    <w:rsid w:val="00EF1A02"/>
    <w:rsid w:val="00EF34D1"/>
    <w:rsid w:val="00EF3594"/>
    <w:rsid w:val="00EF4D20"/>
    <w:rsid w:val="00EF4E24"/>
    <w:rsid w:val="00EF7D08"/>
    <w:rsid w:val="00F0223C"/>
    <w:rsid w:val="00F029A1"/>
    <w:rsid w:val="00F0302D"/>
    <w:rsid w:val="00F03093"/>
    <w:rsid w:val="00F05E15"/>
    <w:rsid w:val="00F07154"/>
    <w:rsid w:val="00F0762D"/>
    <w:rsid w:val="00F13A89"/>
    <w:rsid w:val="00F13C56"/>
    <w:rsid w:val="00F167F1"/>
    <w:rsid w:val="00F16FF0"/>
    <w:rsid w:val="00F17E33"/>
    <w:rsid w:val="00F203D5"/>
    <w:rsid w:val="00F20E64"/>
    <w:rsid w:val="00F24BE4"/>
    <w:rsid w:val="00F254DD"/>
    <w:rsid w:val="00F275D3"/>
    <w:rsid w:val="00F27D87"/>
    <w:rsid w:val="00F27F1F"/>
    <w:rsid w:val="00F35853"/>
    <w:rsid w:val="00F35D50"/>
    <w:rsid w:val="00F36066"/>
    <w:rsid w:val="00F362FF"/>
    <w:rsid w:val="00F408F8"/>
    <w:rsid w:val="00F40DBB"/>
    <w:rsid w:val="00F4150A"/>
    <w:rsid w:val="00F41C07"/>
    <w:rsid w:val="00F45DAF"/>
    <w:rsid w:val="00F50E12"/>
    <w:rsid w:val="00F54FB9"/>
    <w:rsid w:val="00F55672"/>
    <w:rsid w:val="00F563B3"/>
    <w:rsid w:val="00F57119"/>
    <w:rsid w:val="00F572D8"/>
    <w:rsid w:val="00F619AA"/>
    <w:rsid w:val="00F61C5E"/>
    <w:rsid w:val="00F6312B"/>
    <w:rsid w:val="00F639C6"/>
    <w:rsid w:val="00F64F6B"/>
    <w:rsid w:val="00F65F33"/>
    <w:rsid w:val="00F661C5"/>
    <w:rsid w:val="00F70DDD"/>
    <w:rsid w:val="00F73630"/>
    <w:rsid w:val="00F74647"/>
    <w:rsid w:val="00F74B14"/>
    <w:rsid w:val="00F74C4C"/>
    <w:rsid w:val="00F765E0"/>
    <w:rsid w:val="00F768A0"/>
    <w:rsid w:val="00F76D6B"/>
    <w:rsid w:val="00F779CB"/>
    <w:rsid w:val="00F819A8"/>
    <w:rsid w:val="00F83181"/>
    <w:rsid w:val="00F84D38"/>
    <w:rsid w:val="00F8569E"/>
    <w:rsid w:val="00F86E95"/>
    <w:rsid w:val="00F9108C"/>
    <w:rsid w:val="00F920EE"/>
    <w:rsid w:val="00F924ED"/>
    <w:rsid w:val="00F935FE"/>
    <w:rsid w:val="00F944ED"/>
    <w:rsid w:val="00F9451C"/>
    <w:rsid w:val="00F9597B"/>
    <w:rsid w:val="00F9761D"/>
    <w:rsid w:val="00FA0A76"/>
    <w:rsid w:val="00FA15A5"/>
    <w:rsid w:val="00FA2201"/>
    <w:rsid w:val="00FA27F0"/>
    <w:rsid w:val="00FA3732"/>
    <w:rsid w:val="00FA3A05"/>
    <w:rsid w:val="00FA4D5F"/>
    <w:rsid w:val="00FA543F"/>
    <w:rsid w:val="00FA5DCB"/>
    <w:rsid w:val="00FA66D3"/>
    <w:rsid w:val="00FA7847"/>
    <w:rsid w:val="00FB1591"/>
    <w:rsid w:val="00FB1C21"/>
    <w:rsid w:val="00FB2C73"/>
    <w:rsid w:val="00FB399F"/>
    <w:rsid w:val="00FB4649"/>
    <w:rsid w:val="00FB5647"/>
    <w:rsid w:val="00FB67A8"/>
    <w:rsid w:val="00FB7374"/>
    <w:rsid w:val="00FC096D"/>
    <w:rsid w:val="00FC2FAF"/>
    <w:rsid w:val="00FC3BD9"/>
    <w:rsid w:val="00FC4B32"/>
    <w:rsid w:val="00FC5D69"/>
    <w:rsid w:val="00FC78FC"/>
    <w:rsid w:val="00FC7F55"/>
    <w:rsid w:val="00FD1E1C"/>
    <w:rsid w:val="00FD28F6"/>
    <w:rsid w:val="00FD4C37"/>
    <w:rsid w:val="00FD6713"/>
    <w:rsid w:val="00FE4059"/>
    <w:rsid w:val="00FE458A"/>
    <w:rsid w:val="00FE5233"/>
    <w:rsid w:val="00FE781B"/>
    <w:rsid w:val="00FF03F1"/>
    <w:rsid w:val="00FF1147"/>
    <w:rsid w:val="00FF1336"/>
    <w:rsid w:val="00FF2537"/>
    <w:rsid w:val="00FF2C97"/>
    <w:rsid w:val="00FF349B"/>
    <w:rsid w:val="00FF52AC"/>
    <w:rsid w:val="00FF72C3"/>
    <w:rsid w:val="00FF75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92B"/>
    <w:rPr>
      <w:rFonts w:ascii="Times New Roman" w:eastAsia="Times New Roman" w:hAnsi="Times New Roman"/>
      <w:sz w:val="24"/>
      <w:szCs w:val="24"/>
    </w:rPr>
  </w:style>
  <w:style w:type="paragraph" w:styleId="Heading1">
    <w:name w:val="heading 1"/>
    <w:basedOn w:val="Normal"/>
    <w:next w:val="Normal"/>
    <w:link w:val="Heading1Char"/>
    <w:uiPriority w:val="9"/>
    <w:qFormat/>
    <w:rsid w:val="00C03A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C192B"/>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C192B"/>
    <w:rPr>
      <w:rFonts w:ascii="Arial" w:eastAsia="Times New Roman" w:hAnsi="Arial" w:cs="Arial"/>
      <w:b/>
      <w:bCs/>
      <w:i/>
      <w:iCs/>
      <w:sz w:val="28"/>
      <w:szCs w:val="28"/>
    </w:rPr>
  </w:style>
  <w:style w:type="paragraph" w:styleId="Header">
    <w:name w:val="header"/>
    <w:basedOn w:val="Normal"/>
    <w:link w:val="HeaderChar"/>
    <w:rsid w:val="00BC192B"/>
    <w:pPr>
      <w:tabs>
        <w:tab w:val="center" w:pos="4320"/>
        <w:tab w:val="right" w:pos="8640"/>
      </w:tabs>
    </w:pPr>
  </w:style>
  <w:style w:type="character" w:customStyle="1" w:styleId="HeaderChar">
    <w:name w:val="Header Char"/>
    <w:link w:val="Header"/>
    <w:rsid w:val="00BC192B"/>
    <w:rPr>
      <w:rFonts w:ascii="Times New Roman" w:eastAsia="Times New Roman" w:hAnsi="Times New Roman" w:cs="Times New Roman"/>
      <w:sz w:val="24"/>
      <w:szCs w:val="24"/>
    </w:rPr>
  </w:style>
  <w:style w:type="paragraph" w:styleId="Footer">
    <w:name w:val="footer"/>
    <w:basedOn w:val="Normal"/>
    <w:link w:val="FooterChar"/>
    <w:uiPriority w:val="99"/>
    <w:rsid w:val="00BC192B"/>
    <w:pPr>
      <w:tabs>
        <w:tab w:val="center" w:pos="4320"/>
        <w:tab w:val="right" w:pos="8640"/>
      </w:tabs>
    </w:pPr>
  </w:style>
  <w:style w:type="character" w:customStyle="1" w:styleId="FooterChar">
    <w:name w:val="Footer Char"/>
    <w:link w:val="Footer"/>
    <w:uiPriority w:val="99"/>
    <w:rsid w:val="00BC192B"/>
    <w:rPr>
      <w:rFonts w:ascii="Times New Roman" w:eastAsia="Times New Roman" w:hAnsi="Times New Roman" w:cs="Times New Roman"/>
      <w:sz w:val="24"/>
      <w:szCs w:val="24"/>
    </w:rPr>
  </w:style>
  <w:style w:type="character" w:styleId="PageNumber">
    <w:name w:val="page number"/>
    <w:basedOn w:val="DefaultParagraphFont"/>
    <w:rsid w:val="00BC192B"/>
  </w:style>
  <w:style w:type="paragraph" w:styleId="BodyText">
    <w:name w:val="Body Text"/>
    <w:basedOn w:val="Normal"/>
    <w:link w:val="BodyTextChar"/>
    <w:rsid w:val="00BC192B"/>
    <w:pPr>
      <w:spacing w:after="120"/>
    </w:pPr>
  </w:style>
  <w:style w:type="character" w:customStyle="1" w:styleId="BodyTextChar">
    <w:name w:val="Body Text Char"/>
    <w:link w:val="BodyText"/>
    <w:rsid w:val="00BC192B"/>
    <w:rPr>
      <w:rFonts w:ascii="Times New Roman" w:eastAsia="Times New Roman" w:hAnsi="Times New Roman" w:cs="Times New Roman"/>
      <w:sz w:val="24"/>
      <w:szCs w:val="24"/>
    </w:rPr>
  </w:style>
  <w:style w:type="paragraph" w:customStyle="1" w:styleId="00Normal">
    <w:name w:val="00 Normal"/>
    <w:basedOn w:val="Normal"/>
    <w:rsid w:val="00BC192B"/>
    <w:pPr>
      <w:spacing w:after="240"/>
    </w:pPr>
  </w:style>
  <w:style w:type="paragraph" w:styleId="FootnoteText">
    <w:name w:val="footnote text"/>
    <w:aliases w:val="Car"/>
    <w:basedOn w:val="Normal"/>
    <w:link w:val="FootnoteTextChar"/>
    <w:rsid w:val="00BC192B"/>
    <w:rPr>
      <w:sz w:val="20"/>
      <w:szCs w:val="20"/>
    </w:rPr>
  </w:style>
  <w:style w:type="character" w:customStyle="1" w:styleId="FootnoteTextChar">
    <w:name w:val="Footnote Text Char"/>
    <w:aliases w:val="Car Char"/>
    <w:link w:val="FootnoteText"/>
    <w:rsid w:val="00BC192B"/>
    <w:rPr>
      <w:rFonts w:ascii="Times New Roman" w:eastAsia="Times New Roman" w:hAnsi="Times New Roman" w:cs="Times New Roman"/>
      <w:sz w:val="20"/>
      <w:szCs w:val="20"/>
    </w:rPr>
  </w:style>
  <w:style w:type="character" w:styleId="FootnoteReference">
    <w:name w:val="footnote reference"/>
    <w:rsid w:val="00BC192B"/>
    <w:rPr>
      <w:vertAlign w:val="superscript"/>
    </w:rPr>
  </w:style>
  <w:style w:type="paragraph" w:styleId="BalloonText">
    <w:name w:val="Balloon Text"/>
    <w:basedOn w:val="Normal"/>
    <w:link w:val="BalloonTextChar"/>
    <w:uiPriority w:val="99"/>
    <w:semiHidden/>
    <w:unhideWhenUsed/>
    <w:rsid w:val="003D72C4"/>
    <w:rPr>
      <w:rFonts w:ascii="Tahoma" w:hAnsi="Tahoma"/>
      <w:sz w:val="16"/>
      <w:szCs w:val="16"/>
    </w:rPr>
  </w:style>
  <w:style w:type="character" w:customStyle="1" w:styleId="BalloonTextChar">
    <w:name w:val="Balloon Text Char"/>
    <w:link w:val="BalloonText"/>
    <w:uiPriority w:val="99"/>
    <w:semiHidden/>
    <w:rsid w:val="003D72C4"/>
    <w:rPr>
      <w:rFonts w:ascii="Tahoma" w:eastAsia="Times New Roman" w:hAnsi="Tahoma" w:cs="Tahoma"/>
      <w:sz w:val="16"/>
      <w:szCs w:val="16"/>
    </w:rPr>
  </w:style>
  <w:style w:type="character" w:styleId="CommentReference">
    <w:name w:val="annotation reference"/>
    <w:uiPriority w:val="99"/>
    <w:semiHidden/>
    <w:unhideWhenUsed/>
    <w:rsid w:val="003C08BD"/>
    <w:rPr>
      <w:sz w:val="16"/>
      <w:szCs w:val="16"/>
    </w:rPr>
  </w:style>
  <w:style w:type="paragraph" w:styleId="CommentText">
    <w:name w:val="annotation text"/>
    <w:basedOn w:val="Normal"/>
    <w:link w:val="CommentTextChar"/>
    <w:uiPriority w:val="99"/>
    <w:semiHidden/>
    <w:unhideWhenUsed/>
    <w:rsid w:val="003C08BD"/>
    <w:rPr>
      <w:sz w:val="20"/>
      <w:szCs w:val="20"/>
    </w:rPr>
  </w:style>
  <w:style w:type="character" w:customStyle="1" w:styleId="CommentTextChar">
    <w:name w:val="Comment Text Char"/>
    <w:link w:val="CommentText"/>
    <w:uiPriority w:val="99"/>
    <w:semiHidden/>
    <w:rsid w:val="003C08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08BD"/>
    <w:rPr>
      <w:b/>
      <w:bCs/>
    </w:rPr>
  </w:style>
  <w:style w:type="character" w:customStyle="1" w:styleId="CommentSubjectChar">
    <w:name w:val="Comment Subject Char"/>
    <w:link w:val="CommentSubject"/>
    <w:uiPriority w:val="99"/>
    <w:semiHidden/>
    <w:rsid w:val="003C08BD"/>
    <w:rPr>
      <w:rFonts w:ascii="Times New Roman" w:eastAsia="Times New Roman" w:hAnsi="Times New Roman" w:cs="Times New Roman"/>
      <w:b/>
      <w:bCs/>
      <w:sz w:val="20"/>
      <w:szCs w:val="20"/>
    </w:rPr>
  </w:style>
  <w:style w:type="paragraph" w:styleId="ListParagraph">
    <w:name w:val="List Paragraph"/>
    <w:basedOn w:val="Normal"/>
    <w:uiPriority w:val="34"/>
    <w:qFormat/>
    <w:rsid w:val="001E6EAF"/>
    <w:pPr>
      <w:ind w:left="720"/>
      <w:contextualSpacing/>
    </w:pPr>
  </w:style>
  <w:style w:type="paragraph" w:styleId="Revision">
    <w:name w:val="Revision"/>
    <w:hidden/>
    <w:uiPriority w:val="99"/>
    <w:semiHidden/>
    <w:rsid w:val="003C5799"/>
    <w:rPr>
      <w:rFonts w:ascii="Times New Roman" w:eastAsia="Times New Roman" w:hAnsi="Times New Roman"/>
      <w:sz w:val="24"/>
      <w:szCs w:val="24"/>
    </w:rPr>
  </w:style>
  <w:style w:type="character" w:customStyle="1" w:styleId="zzmpTrailerItem">
    <w:name w:val="zzmpTrailerItem"/>
    <w:basedOn w:val="DefaultParagraphFont"/>
    <w:rsid w:val="0097186C"/>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RPSPPAiparagraph">
    <w:name w:val="RPS PPA (i) paragraph"/>
    <w:basedOn w:val="Normal"/>
    <w:next w:val="Normal"/>
    <w:rsid w:val="008E6341"/>
    <w:pPr>
      <w:spacing w:after="240"/>
      <w:ind w:firstLine="2160"/>
    </w:pPr>
    <w:rPr>
      <w:sz w:val="22"/>
      <w:szCs w:val="20"/>
    </w:rPr>
  </w:style>
  <w:style w:type="paragraph" w:customStyle="1" w:styleId="Quote1">
    <w:name w:val="Quote1"/>
    <w:basedOn w:val="Normal"/>
    <w:next w:val="Normal"/>
    <w:link w:val="quoteChar"/>
    <w:rsid w:val="00C730D5"/>
    <w:pPr>
      <w:spacing w:before="120" w:after="240"/>
      <w:ind w:left="720" w:right="720"/>
    </w:pPr>
    <w:rPr>
      <w:rFonts w:ascii="Palatino" w:hAnsi="Palatino"/>
      <w:sz w:val="26"/>
      <w:szCs w:val="20"/>
    </w:rPr>
  </w:style>
  <w:style w:type="character" w:customStyle="1" w:styleId="quoteChar">
    <w:name w:val="quote Char"/>
    <w:basedOn w:val="DefaultParagraphFont"/>
    <w:link w:val="Quote1"/>
    <w:rsid w:val="00C730D5"/>
    <w:rPr>
      <w:rFonts w:ascii="Palatino" w:eastAsia="Times New Roman" w:hAnsi="Palatino"/>
      <w:sz w:val="26"/>
    </w:rPr>
  </w:style>
  <w:style w:type="paragraph" w:customStyle="1" w:styleId="standard">
    <w:name w:val="standard"/>
    <w:basedOn w:val="Normal"/>
    <w:link w:val="standardChar"/>
    <w:rsid w:val="00215673"/>
    <w:pPr>
      <w:spacing w:line="360" w:lineRule="auto"/>
      <w:ind w:firstLine="720"/>
    </w:pPr>
    <w:rPr>
      <w:rFonts w:ascii="Palatino" w:hAnsi="Palatino"/>
      <w:sz w:val="26"/>
      <w:szCs w:val="20"/>
    </w:rPr>
  </w:style>
  <w:style w:type="paragraph" w:customStyle="1" w:styleId="sub1">
    <w:name w:val="sub1"/>
    <w:basedOn w:val="Normal"/>
    <w:rsid w:val="00215673"/>
    <w:pPr>
      <w:spacing w:line="360" w:lineRule="auto"/>
      <w:ind w:firstLine="1440"/>
    </w:pPr>
    <w:rPr>
      <w:rFonts w:ascii="Palatino" w:hAnsi="Palatino"/>
      <w:sz w:val="26"/>
      <w:szCs w:val="20"/>
    </w:rPr>
  </w:style>
  <w:style w:type="character" w:customStyle="1" w:styleId="standardChar">
    <w:name w:val="standard Char"/>
    <w:basedOn w:val="DefaultParagraphFont"/>
    <w:link w:val="standard"/>
    <w:rsid w:val="00215673"/>
    <w:rPr>
      <w:rFonts w:ascii="Palatino" w:eastAsia="Times New Roman" w:hAnsi="Palatino"/>
      <w:sz w:val="26"/>
    </w:rPr>
  </w:style>
  <w:style w:type="paragraph" w:customStyle="1" w:styleId="Hanging2">
    <w:name w:val="Hanging 2"/>
    <w:basedOn w:val="Heading1"/>
    <w:rsid w:val="00C03A9E"/>
    <w:pPr>
      <w:keepNext w:val="0"/>
      <w:keepLines w:val="0"/>
      <w:spacing w:before="0" w:after="240"/>
      <w:ind w:left="720"/>
      <w:jc w:val="both"/>
    </w:pPr>
    <w:rPr>
      <w:rFonts w:ascii="Arial" w:eastAsia="Times New Roman" w:hAnsi="Arial" w:cs="Times New Roman"/>
      <w:b w:val="0"/>
      <w:color w:val="auto"/>
      <w:sz w:val="22"/>
      <w:szCs w:val="32"/>
    </w:rPr>
  </w:style>
  <w:style w:type="character" w:customStyle="1" w:styleId="Heading1Char">
    <w:name w:val="Heading 1 Char"/>
    <w:basedOn w:val="DefaultParagraphFont"/>
    <w:link w:val="Heading1"/>
    <w:uiPriority w:val="9"/>
    <w:rsid w:val="00C03A9E"/>
    <w:rPr>
      <w:rFonts w:asciiTheme="majorHAnsi" w:eastAsiaTheme="majorEastAsia" w:hAnsiTheme="majorHAnsi" w:cstheme="majorBidi"/>
      <w:b/>
      <w:bCs/>
      <w:color w:val="365F91" w:themeColor="accent1" w:themeShade="BF"/>
      <w:sz w:val="28"/>
      <w:szCs w:val="28"/>
    </w:rPr>
  </w:style>
  <w:style w:type="character" w:customStyle="1" w:styleId="DeltaViewInsertion">
    <w:name w:val="DeltaView Insertion"/>
    <w:uiPriority w:val="99"/>
    <w:rsid w:val="00896456"/>
    <w:rPr>
      <w:color w:val="0000FF"/>
      <w:u w:val="doub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92B"/>
    <w:rPr>
      <w:rFonts w:ascii="Times New Roman" w:eastAsia="Times New Roman" w:hAnsi="Times New Roman"/>
      <w:sz w:val="24"/>
      <w:szCs w:val="24"/>
    </w:rPr>
  </w:style>
  <w:style w:type="paragraph" w:styleId="Heading1">
    <w:name w:val="heading 1"/>
    <w:basedOn w:val="Normal"/>
    <w:next w:val="Normal"/>
    <w:link w:val="Heading1Char"/>
    <w:uiPriority w:val="9"/>
    <w:qFormat/>
    <w:rsid w:val="00C03A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C192B"/>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C192B"/>
    <w:rPr>
      <w:rFonts w:ascii="Arial" w:eastAsia="Times New Roman" w:hAnsi="Arial" w:cs="Arial"/>
      <w:b/>
      <w:bCs/>
      <w:i/>
      <w:iCs/>
      <w:sz w:val="28"/>
      <w:szCs w:val="28"/>
    </w:rPr>
  </w:style>
  <w:style w:type="paragraph" w:styleId="Header">
    <w:name w:val="header"/>
    <w:basedOn w:val="Normal"/>
    <w:link w:val="HeaderChar"/>
    <w:rsid w:val="00BC192B"/>
    <w:pPr>
      <w:tabs>
        <w:tab w:val="center" w:pos="4320"/>
        <w:tab w:val="right" w:pos="8640"/>
      </w:tabs>
    </w:pPr>
  </w:style>
  <w:style w:type="character" w:customStyle="1" w:styleId="HeaderChar">
    <w:name w:val="Header Char"/>
    <w:link w:val="Header"/>
    <w:rsid w:val="00BC192B"/>
    <w:rPr>
      <w:rFonts w:ascii="Times New Roman" w:eastAsia="Times New Roman" w:hAnsi="Times New Roman" w:cs="Times New Roman"/>
      <w:sz w:val="24"/>
      <w:szCs w:val="24"/>
    </w:rPr>
  </w:style>
  <w:style w:type="paragraph" w:styleId="Footer">
    <w:name w:val="footer"/>
    <w:basedOn w:val="Normal"/>
    <w:link w:val="FooterChar"/>
    <w:uiPriority w:val="99"/>
    <w:rsid w:val="00BC192B"/>
    <w:pPr>
      <w:tabs>
        <w:tab w:val="center" w:pos="4320"/>
        <w:tab w:val="right" w:pos="8640"/>
      </w:tabs>
    </w:pPr>
  </w:style>
  <w:style w:type="character" w:customStyle="1" w:styleId="FooterChar">
    <w:name w:val="Footer Char"/>
    <w:link w:val="Footer"/>
    <w:uiPriority w:val="99"/>
    <w:rsid w:val="00BC192B"/>
    <w:rPr>
      <w:rFonts w:ascii="Times New Roman" w:eastAsia="Times New Roman" w:hAnsi="Times New Roman" w:cs="Times New Roman"/>
      <w:sz w:val="24"/>
      <w:szCs w:val="24"/>
    </w:rPr>
  </w:style>
  <w:style w:type="character" w:styleId="PageNumber">
    <w:name w:val="page number"/>
    <w:basedOn w:val="DefaultParagraphFont"/>
    <w:rsid w:val="00BC192B"/>
  </w:style>
  <w:style w:type="paragraph" w:styleId="BodyText">
    <w:name w:val="Body Text"/>
    <w:basedOn w:val="Normal"/>
    <w:link w:val="BodyTextChar"/>
    <w:rsid w:val="00BC192B"/>
    <w:pPr>
      <w:spacing w:after="120"/>
    </w:pPr>
  </w:style>
  <w:style w:type="character" w:customStyle="1" w:styleId="BodyTextChar">
    <w:name w:val="Body Text Char"/>
    <w:link w:val="BodyText"/>
    <w:rsid w:val="00BC192B"/>
    <w:rPr>
      <w:rFonts w:ascii="Times New Roman" w:eastAsia="Times New Roman" w:hAnsi="Times New Roman" w:cs="Times New Roman"/>
      <w:sz w:val="24"/>
      <w:szCs w:val="24"/>
    </w:rPr>
  </w:style>
  <w:style w:type="paragraph" w:customStyle="1" w:styleId="00Normal">
    <w:name w:val="00 Normal"/>
    <w:basedOn w:val="Normal"/>
    <w:rsid w:val="00BC192B"/>
    <w:pPr>
      <w:spacing w:after="240"/>
    </w:pPr>
  </w:style>
  <w:style w:type="paragraph" w:styleId="FootnoteText">
    <w:name w:val="footnote text"/>
    <w:aliases w:val="Car"/>
    <w:basedOn w:val="Normal"/>
    <w:link w:val="FootnoteTextChar"/>
    <w:rsid w:val="00BC192B"/>
    <w:rPr>
      <w:sz w:val="20"/>
      <w:szCs w:val="20"/>
    </w:rPr>
  </w:style>
  <w:style w:type="character" w:customStyle="1" w:styleId="FootnoteTextChar">
    <w:name w:val="Footnote Text Char"/>
    <w:aliases w:val="Car Char"/>
    <w:link w:val="FootnoteText"/>
    <w:rsid w:val="00BC192B"/>
    <w:rPr>
      <w:rFonts w:ascii="Times New Roman" w:eastAsia="Times New Roman" w:hAnsi="Times New Roman" w:cs="Times New Roman"/>
      <w:sz w:val="20"/>
      <w:szCs w:val="20"/>
    </w:rPr>
  </w:style>
  <w:style w:type="character" w:styleId="FootnoteReference">
    <w:name w:val="footnote reference"/>
    <w:rsid w:val="00BC192B"/>
    <w:rPr>
      <w:vertAlign w:val="superscript"/>
    </w:rPr>
  </w:style>
  <w:style w:type="paragraph" w:styleId="BalloonText">
    <w:name w:val="Balloon Text"/>
    <w:basedOn w:val="Normal"/>
    <w:link w:val="BalloonTextChar"/>
    <w:uiPriority w:val="99"/>
    <w:semiHidden/>
    <w:unhideWhenUsed/>
    <w:rsid w:val="003D72C4"/>
    <w:rPr>
      <w:rFonts w:ascii="Tahoma" w:hAnsi="Tahoma"/>
      <w:sz w:val="16"/>
      <w:szCs w:val="16"/>
    </w:rPr>
  </w:style>
  <w:style w:type="character" w:customStyle="1" w:styleId="BalloonTextChar">
    <w:name w:val="Balloon Text Char"/>
    <w:link w:val="BalloonText"/>
    <w:uiPriority w:val="99"/>
    <w:semiHidden/>
    <w:rsid w:val="003D72C4"/>
    <w:rPr>
      <w:rFonts w:ascii="Tahoma" w:eastAsia="Times New Roman" w:hAnsi="Tahoma" w:cs="Tahoma"/>
      <w:sz w:val="16"/>
      <w:szCs w:val="16"/>
    </w:rPr>
  </w:style>
  <w:style w:type="character" w:styleId="CommentReference">
    <w:name w:val="annotation reference"/>
    <w:uiPriority w:val="99"/>
    <w:semiHidden/>
    <w:unhideWhenUsed/>
    <w:rsid w:val="003C08BD"/>
    <w:rPr>
      <w:sz w:val="16"/>
      <w:szCs w:val="16"/>
    </w:rPr>
  </w:style>
  <w:style w:type="paragraph" w:styleId="CommentText">
    <w:name w:val="annotation text"/>
    <w:basedOn w:val="Normal"/>
    <w:link w:val="CommentTextChar"/>
    <w:uiPriority w:val="99"/>
    <w:semiHidden/>
    <w:unhideWhenUsed/>
    <w:rsid w:val="003C08BD"/>
    <w:rPr>
      <w:sz w:val="20"/>
      <w:szCs w:val="20"/>
    </w:rPr>
  </w:style>
  <w:style w:type="character" w:customStyle="1" w:styleId="CommentTextChar">
    <w:name w:val="Comment Text Char"/>
    <w:link w:val="CommentText"/>
    <w:uiPriority w:val="99"/>
    <w:semiHidden/>
    <w:rsid w:val="003C08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08BD"/>
    <w:rPr>
      <w:b/>
      <w:bCs/>
    </w:rPr>
  </w:style>
  <w:style w:type="character" w:customStyle="1" w:styleId="CommentSubjectChar">
    <w:name w:val="Comment Subject Char"/>
    <w:link w:val="CommentSubject"/>
    <w:uiPriority w:val="99"/>
    <w:semiHidden/>
    <w:rsid w:val="003C08BD"/>
    <w:rPr>
      <w:rFonts w:ascii="Times New Roman" w:eastAsia="Times New Roman" w:hAnsi="Times New Roman" w:cs="Times New Roman"/>
      <w:b/>
      <w:bCs/>
      <w:sz w:val="20"/>
      <w:szCs w:val="20"/>
    </w:rPr>
  </w:style>
  <w:style w:type="paragraph" w:styleId="ListParagraph">
    <w:name w:val="List Paragraph"/>
    <w:basedOn w:val="Normal"/>
    <w:uiPriority w:val="34"/>
    <w:qFormat/>
    <w:rsid w:val="001E6EAF"/>
    <w:pPr>
      <w:ind w:left="720"/>
      <w:contextualSpacing/>
    </w:pPr>
  </w:style>
  <w:style w:type="paragraph" w:styleId="Revision">
    <w:name w:val="Revision"/>
    <w:hidden/>
    <w:uiPriority w:val="99"/>
    <w:semiHidden/>
    <w:rsid w:val="003C5799"/>
    <w:rPr>
      <w:rFonts w:ascii="Times New Roman" w:eastAsia="Times New Roman" w:hAnsi="Times New Roman"/>
      <w:sz w:val="24"/>
      <w:szCs w:val="24"/>
    </w:rPr>
  </w:style>
  <w:style w:type="character" w:customStyle="1" w:styleId="zzmpTrailerItem">
    <w:name w:val="zzmpTrailerItem"/>
    <w:basedOn w:val="DefaultParagraphFont"/>
    <w:rsid w:val="00B72B11"/>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RPSPPAiparagraph">
    <w:name w:val="RPS PPA (i) paragraph"/>
    <w:basedOn w:val="Normal"/>
    <w:next w:val="Normal"/>
    <w:rsid w:val="008E6341"/>
    <w:pPr>
      <w:spacing w:after="240"/>
      <w:ind w:firstLine="2160"/>
    </w:pPr>
    <w:rPr>
      <w:sz w:val="22"/>
      <w:szCs w:val="20"/>
    </w:rPr>
  </w:style>
  <w:style w:type="paragraph" w:customStyle="1" w:styleId="Quote1">
    <w:name w:val="Quote1"/>
    <w:basedOn w:val="Normal"/>
    <w:next w:val="Normal"/>
    <w:link w:val="quoteChar"/>
    <w:rsid w:val="00C730D5"/>
    <w:pPr>
      <w:spacing w:before="120" w:after="240"/>
      <w:ind w:left="720" w:right="720"/>
    </w:pPr>
    <w:rPr>
      <w:rFonts w:ascii="Palatino" w:hAnsi="Palatino"/>
      <w:sz w:val="26"/>
      <w:szCs w:val="20"/>
    </w:rPr>
  </w:style>
  <w:style w:type="character" w:customStyle="1" w:styleId="quoteChar">
    <w:name w:val="quote Char"/>
    <w:basedOn w:val="DefaultParagraphFont"/>
    <w:link w:val="Quote1"/>
    <w:rsid w:val="00C730D5"/>
    <w:rPr>
      <w:rFonts w:ascii="Palatino" w:eastAsia="Times New Roman" w:hAnsi="Palatino"/>
      <w:sz w:val="26"/>
    </w:rPr>
  </w:style>
  <w:style w:type="paragraph" w:customStyle="1" w:styleId="standard">
    <w:name w:val="standard"/>
    <w:basedOn w:val="Normal"/>
    <w:link w:val="standardChar"/>
    <w:rsid w:val="00215673"/>
    <w:pPr>
      <w:spacing w:line="360" w:lineRule="auto"/>
      <w:ind w:firstLine="720"/>
    </w:pPr>
    <w:rPr>
      <w:rFonts w:ascii="Palatino" w:hAnsi="Palatino"/>
      <w:sz w:val="26"/>
      <w:szCs w:val="20"/>
    </w:rPr>
  </w:style>
  <w:style w:type="paragraph" w:customStyle="1" w:styleId="sub1">
    <w:name w:val="sub1"/>
    <w:basedOn w:val="Normal"/>
    <w:rsid w:val="00215673"/>
    <w:pPr>
      <w:spacing w:line="360" w:lineRule="auto"/>
      <w:ind w:firstLine="1440"/>
    </w:pPr>
    <w:rPr>
      <w:rFonts w:ascii="Palatino" w:hAnsi="Palatino"/>
      <w:sz w:val="26"/>
      <w:szCs w:val="20"/>
    </w:rPr>
  </w:style>
  <w:style w:type="character" w:customStyle="1" w:styleId="standardChar">
    <w:name w:val="standard Char"/>
    <w:basedOn w:val="DefaultParagraphFont"/>
    <w:link w:val="standard"/>
    <w:rsid w:val="00215673"/>
    <w:rPr>
      <w:rFonts w:ascii="Palatino" w:eastAsia="Times New Roman" w:hAnsi="Palatino"/>
      <w:sz w:val="26"/>
    </w:rPr>
  </w:style>
  <w:style w:type="paragraph" w:customStyle="1" w:styleId="Hanging2">
    <w:name w:val="Hanging 2"/>
    <w:basedOn w:val="Heading1"/>
    <w:rsid w:val="00C03A9E"/>
    <w:pPr>
      <w:keepNext w:val="0"/>
      <w:keepLines w:val="0"/>
      <w:spacing w:before="0" w:after="240"/>
      <w:ind w:left="720"/>
      <w:jc w:val="both"/>
    </w:pPr>
    <w:rPr>
      <w:rFonts w:ascii="Arial" w:eastAsia="Times New Roman" w:hAnsi="Arial" w:cs="Times New Roman"/>
      <w:b w:val="0"/>
      <w:color w:val="auto"/>
      <w:sz w:val="22"/>
      <w:szCs w:val="32"/>
    </w:rPr>
  </w:style>
  <w:style w:type="character" w:customStyle="1" w:styleId="Heading1Char">
    <w:name w:val="Heading 1 Char"/>
    <w:basedOn w:val="DefaultParagraphFont"/>
    <w:link w:val="Heading1"/>
    <w:uiPriority w:val="9"/>
    <w:rsid w:val="00C03A9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749622335">
      <w:bodyDiv w:val="1"/>
      <w:marLeft w:val="0"/>
      <w:marRight w:val="0"/>
      <w:marTop w:val="0"/>
      <w:marBottom w:val="0"/>
      <w:divBdr>
        <w:top w:val="none" w:sz="0" w:space="0" w:color="auto"/>
        <w:left w:val="none" w:sz="0" w:space="0" w:color="auto"/>
        <w:bottom w:val="none" w:sz="0" w:space="0" w:color="auto"/>
        <w:right w:val="none" w:sz="0" w:space="0" w:color="auto"/>
      </w:divBdr>
    </w:div>
    <w:div w:id="112095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18" Type="http://schemas.microsoft.com/office/2007/relationships/stylesWithEffects" Target="stylesWithEffects.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3.xml" />
  <Relationship Id="rId17" Type="http://schemas.openxmlformats.org/officeDocument/2006/relationships/theme" Target="theme/theme1.xml" />
  <Relationship Id="rId2" Type="http://schemas.openxmlformats.org/officeDocument/2006/relationships/numbering" Target="numbering.xml" />
  <Relationship Id="rId16" Type="http://schemas.openxmlformats.org/officeDocument/2006/relationships/fontTable" Target="fontTable.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footer" Target="footer5.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oter" Target="footer4.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D2916-3FC7-4D88-BC5B-E11BC97E8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3</Pages>
  <Words>4212</Words>
  <Characters>23078</Characters>
  <Application>Microsoft Office Word</Application>
  <DocSecurity>0</DocSecurity>
  <PresentationFormat/>
  <Lines>506</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IFAAO1EAeOoyamrBMqKhYaWgqIQOmozGlZsFwJRNLgt0Uu1eZfzIr+nkvRRGKXdLcuf6ZNnW7Zo7i3uq
9BjpSK8cooYkmOX7FuQAXH18CkGJS/dUFZdHEe6L8WeF6LX/ACJvcRze/4wqQB7HegABbfCnddew
l0XzVEZilKdWC7WOq+zaW4SP7719Gq9EicyEKcZAxKqdVq8hrV/bnbj3MoObTV6+U46H39uMKWsj
ihfNUDPRt3hD9fEhn</vt:lpwstr>
  </property>
  <property fmtid="{D5CDD505-2E9C-101B-9397-08002B2CF9AE}" pid="3" name="MAIL_MSG_ID2">
    <vt:lpwstr>l7/nbw260BknQQozXJhpEnNk+5JSKz8n0pzAuWJI9kJUyXeKc2FZ9PIftB/
ldgWKN2dbZnvK8s3</vt:lpwstr>
  </property>
  <property fmtid="{D5CDD505-2E9C-101B-9397-08002B2CF9AE}" pid="4" name="RESPONSE_SENDER_NAME">
    <vt:lpwstr>gAAAFrATEITNPljMPruRURaR30tjxmv3vTkD</vt:lpwstr>
  </property>
  <property fmtid="{D5CDD505-2E9C-101B-9397-08002B2CF9AE}" pid="5" name="EMAIL_OWNER_ADDRESS">
    <vt:lpwstr>ABAAdnH19QYq2YXA5Dr8BVKY6J6E0BAm+WLZ5KYbg6TlGUX/eSdBfOA2HpiAfDk/dHST</vt:lpwstr>
  </property>
</Properties>
</file>