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oter4.xml" ContentType="application/vnd.openxmlformats-officedocument.wordprocessingml.footer+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D7E" w:rsidRDefault="00850D7E" w:rsidP="00850D7E">
      <w:pPr>
        <w:jc w:val="center"/>
        <w:rPr>
          <w:b/>
          <w:sz w:val="22"/>
          <w:szCs w:val="22"/>
        </w:rPr>
      </w:pPr>
      <w:r>
        <w:rPr>
          <w:b/>
          <w:sz w:val="22"/>
          <w:szCs w:val="22"/>
        </w:rPr>
        <w:t xml:space="preserve">PURCHASE AND SALE OF CALIFORNIA RPS </w:t>
      </w:r>
      <w:r w:rsidR="00736E81">
        <w:rPr>
          <w:b/>
          <w:sz w:val="22"/>
          <w:szCs w:val="22"/>
        </w:rPr>
        <w:t xml:space="preserve">CATEGORY 1 </w:t>
      </w:r>
      <w:r>
        <w:rPr>
          <w:b/>
          <w:sz w:val="22"/>
          <w:szCs w:val="22"/>
        </w:rPr>
        <w:t xml:space="preserve">PRODUCT </w:t>
      </w:r>
    </w:p>
    <w:p w:rsidR="00850D7E" w:rsidRDefault="00850D7E" w:rsidP="00850D7E">
      <w:pPr>
        <w:jc w:val="center"/>
        <w:rPr>
          <w:b/>
          <w:sz w:val="22"/>
          <w:szCs w:val="22"/>
        </w:rPr>
      </w:pPr>
    </w:p>
    <w:p w:rsidR="00850D7E" w:rsidRDefault="00850D7E" w:rsidP="00850D7E">
      <w:pPr>
        <w:jc w:val="center"/>
        <w:rPr>
          <w:b/>
          <w:sz w:val="22"/>
          <w:szCs w:val="22"/>
        </w:rPr>
      </w:pPr>
      <w:r>
        <w:rPr>
          <w:b/>
          <w:sz w:val="22"/>
          <w:szCs w:val="22"/>
        </w:rPr>
        <w:t>MASTER POWER PURCHASE AND SALE AGREEMENT</w:t>
      </w:r>
    </w:p>
    <w:p w:rsidR="00850D7E" w:rsidRDefault="00850D7E" w:rsidP="00850D7E">
      <w:pPr>
        <w:jc w:val="center"/>
        <w:rPr>
          <w:b/>
          <w:sz w:val="22"/>
          <w:szCs w:val="22"/>
        </w:rPr>
      </w:pPr>
      <w:r>
        <w:rPr>
          <w:b/>
          <w:sz w:val="22"/>
          <w:szCs w:val="22"/>
        </w:rPr>
        <w:t>CONFIRMATION LETTER</w:t>
      </w:r>
    </w:p>
    <w:p w:rsidR="00850D7E" w:rsidRDefault="00850D7E" w:rsidP="00850D7E">
      <w:pPr>
        <w:jc w:val="center"/>
        <w:rPr>
          <w:sz w:val="22"/>
          <w:szCs w:val="22"/>
        </w:rPr>
      </w:pPr>
    </w:p>
    <w:p w:rsidR="00850D7E" w:rsidRDefault="00850D7E" w:rsidP="00850D7E">
      <w:pPr>
        <w:rPr>
          <w:sz w:val="22"/>
          <w:szCs w:val="22"/>
        </w:rPr>
      </w:pPr>
    </w:p>
    <w:p w:rsidR="00850D7E" w:rsidRPr="00B10778" w:rsidRDefault="00850D7E" w:rsidP="00850D7E">
      <w:pPr>
        <w:rPr>
          <w:sz w:val="22"/>
          <w:szCs w:val="22"/>
        </w:rPr>
      </w:pPr>
      <w:r w:rsidRPr="00B10778">
        <w:rPr>
          <w:sz w:val="22"/>
          <w:szCs w:val="22"/>
        </w:rPr>
        <w:t>From:</w:t>
      </w:r>
      <w:r w:rsidRPr="00B10778">
        <w:rPr>
          <w:sz w:val="22"/>
          <w:szCs w:val="22"/>
        </w:rPr>
        <w:tab/>
      </w:r>
      <w:r>
        <w:rPr>
          <w:sz w:val="22"/>
          <w:szCs w:val="22"/>
        </w:rPr>
        <w:t>[</w:t>
      </w:r>
      <w:r>
        <w:rPr>
          <w:i/>
          <w:sz w:val="22"/>
          <w:szCs w:val="22"/>
        </w:rPr>
        <w:t>Seller Name</w:t>
      </w:r>
      <w:r w:rsidRPr="00613AEF">
        <w:rPr>
          <w:sz w:val="22"/>
          <w:szCs w:val="22"/>
        </w:rPr>
        <w:t>]</w:t>
      </w:r>
    </w:p>
    <w:p w:rsidR="00850D7E" w:rsidRPr="00B10778" w:rsidRDefault="00850D7E" w:rsidP="00850D7E">
      <w:pPr>
        <w:rPr>
          <w:sz w:val="22"/>
          <w:szCs w:val="22"/>
        </w:rPr>
      </w:pPr>
      <w:r w:rsidRPr="00B10778">
        <w:rPr>
          <w:sz w:val="22"/>
          <w:szCs w:val="22"/>
        </w:rPr>
        <w:tab/>
      </w:r>
      <w:r>
        <w:rPr>
          <w:sz w:val="22"/>
          <w:szCs w:val="22"/>
        </w:rPr>
        <w:t>[</w:t>
      </w:r>
      <w:r>
        <w:rPr>
          <w:i/>
          <w:sz w:val="22"/>
          <w:szCs w:val="22"/>
        </w:rPr>
        <w:t>Seller Address</w:t>
      </w:r>
      <w:r w:rsidRPr="00613AEF">
        <w:rPr>
          <w:sz w:val="22"/>
          <w:szCs w:val="22"/>
        </w:rPr>
        <w:t>]</w:t>
      </w:r>
    </w:p>
    <w:p w:rsidR="00850D7E" w:rsidRPr="00B10778" w:rsidRDefault="00850D7E" w:rsidP="00850D7E">
      <w:pPr>
        <w:rPr>
          <w:sz w:val="22"/>
          <w:szCs w:val="22"/>
        </w:rPr>
      </w:pPr>
      <w:r>
        <w:rPr>
          <w:sz w:val="22"/>
          <w:szCs w:val="22"/>
        </w:rPr>
        <w:tab/>
        <w:t>Attn:</w:t>
      </w:r>
      <w:r>
        <w:rPr>
          <w:sz w:val="22"/>
          <w:szCs w:val="22"/>
        </w:rPr>
        <w:tab/>
      </w:r>
    </w:p>
    <w:p w:rsidR="00850D7E" w:rsidRPr="00B10778" w:rsidRDefault="00850D7E" w:rsidP="00850D7E">
      <w:pPr>
        <w:rPr>
          <w:sz w:val="22"/>
          <w:szCs w:val="22"/>
        </w:rPr>
      </w:pPr>
    </w:p>
    <w:p w:rsidR="00850D7E" w:rsidRPr="00B10778" w:rsidRDefault="00850D7E" w:rsidP="00850D7E">
      <w:pPr>
        <w:tabs>
          <w:tab w:val="left" w:pos="720"/>
          <w:tab w:val="left" w:pos="1440"/>
          <w:tab w:val="center" w:pos="4320"/>
        </w:tabs>
        <w:rPr>
          <w:sz w:val="22"/>
          <w:szCs w:val="22"/>
        </w:rPr>
      </w:pPr>
      <w:r w:rsidRPr="00B10778">
        <w:rPr>
          <w:sz w:val="22"/>
          <w:szCs w:val="22"/>
        </w:rPr>
        <w:t>To:</w:t>
      </w:r>
      <w:r w:rsidRPr="00B10778">
        <w:rPr>
          <w:sz w:val="22"/>
          <w:szCs w:val="22"/>
        </w:rPr>
        <w:tab/>
        <w:t xml:space="preserve">Marin Clean Energy </w:t>
      </w:r>
    </w:p>
    <w:p w:rsidR="00850D7E" w:rsidRPr="00B10778" w:rsidRDefault="00850D7E" w:rsidP="00850D7E">
      <w:pPr>
        <w:tabs>
          <w:tab w:val="left" w:pos="720"/>
          <w:tab w:val="left" w:pos="1440"/>
          <w:tab w:val="center" w:pos="4320"/>
        </w:tabs>
        <w:rPr>
          <w:sz w:val="22"/>
          <w:szCs w:val="22"/>
        </w:rPr>
      </w:pPr>
      <w:r w:rsidRPr="00B10778">
        <w:rPr>
          <w:sz w:val="22"/>
          <w:szCs w:val="22"/>
        </w:rPr>
        <w:tab/>
        <w:t>1125 Tamalpais Avenue</w:t>
      </w:r>
    </w:p>
    <w:p w:rsidR="00850D7E" w:rsidRPr="00B10778" w:rsidRDefault="00850D7E" w:rsidP="00850D7E">
      <w:pPr>
        <w:tabs>
          <w:tab w:val="left" w:pos="720"/>
          <w:tab w:val="left" w:pos="1440"/>
          <w:tab w:val="center" w:pos="4320"/>
        </w:tabs>
        <w:rPr>
          <w:sz w:val="22"/>
          <w:szCs w:val="22"/>
        </w:rPr>
      </w:pPr>
      <w:r w:rsidRPr="00B10778">
        <w:rPr>
          <w:sz w:val="22"/>
          <w:szCs w:val="22"/>
        </w:rPr>
        <w:tab/>
        <w:t>San Rafael, CA 94901</w:t>
      </w:r>
    </w:p>
    <w:p w:rsidR="00850D7E" w:rsidRPr="00B10778" w:rsidRDefault="00850D7E" w:rsidP="00850D7E">
      <w:pPr>
        <w:tabs>
          <w:tab w:val="left" w:pos="720"/>
          <w:tab w:val="left" w:pos="1440"/>
          <w:tab w:val="center" w:pos="4320"/>
        </w:tabs>
        <w:rPr>
          <w:sz w:val="22"/>
          <w:szCs w:val="22"/>
        </w:rPr>
      </w:pPr>
      <w:r w:rsidRPr="00B10778">
        <w:rPr>
          <w:sz w:val="22"/>
          <w:szCs w:val="22"/>
        </w:rPr>
        <w:tab/>
        <w:t>Attn:</w:t>
      </w:r>
      <w:r w:rsidRPr="00B10778">
        <w:rPr>
          <w:sz w:val="22"/>
          <w:szCs w:val="22"/>
        </w:rPr>
        <w:tab/>
        <w:t>Greg Brehm</w:t>
      </w:r>
      <w:r w:rsidRPr="00B10778">
        <w:rPr>
          <w:sz w:val="22"/>
          <w:szCs w:val="22"/>
        </w:rPr>
        <w:tab/>
      </w:r>
    </w:p>
    <w:p w:rsidR="00850D7E" w:rsidRPr="00B10778" w:rsidRDefault="00850D7E" w:rsidP="00850D7E">
      <w:pPr>
        <w:rPr>
          <w:sz w:val="22"/>
          <w:szCs w:val="22"/>
        </w:rPr>
      </w:pPr>
    </w:p>
    <w:p w:rsidR="00996664" w:rsidRPr="00F96DE2" w:rsidRDefault="00850D7E" w:rsidP="00850D7E">
      <w:pPr>
        <w:jc w:val="both"/>
        <w:rPr>
          <w:rFonts w:ascii="Arial" w:hAnsi="Arial" w:cs="Arial"/>
          <w:b/>
          <w:sz w:val="22"/>
          <w:szCs w:val="22"/>
        </w:rPr>
      </w:pPr>
      <w:r w:rsidRPr="0045401F">
        <w:rPr>
          <w:sz w:val="22"/>
          <w:szCs w:val="22"/>
        </w:rPr>
        <w:t>This</w:t>
      </w:r>
      <w:r>
        <w:rPr>
          <w:sz w:val="22"/>
          <w:szCs w:val="22"/>
        </w:rPr>
        <w:t xml:space="preserve"> confirmation letter </w:t>
      </w:r>
      <w:r w:rsidRPr="0045401F">
        <w:rPr>
          <w:sz w:val="22"/>
          <w:szCs w:val="22"/>
        </w:rPr>
        <w:t>(“</w:t>
      </w:r>
      <w:r w:rsidRPr="0045401F">
        <w:rPr>
          <w:b/>
          <w:sz w:val="22"/>
          <w:szCs w:val="22"/>
        </w:rPr>
        <w:t>Confirmation</w:t>
      </w:r>
      <w:r w:rsidR="00F20A25">
        <w:rPr>
          <w:b/>
          <w:sz w:val="22"/>
          <w:szCs w:val="22"/>
        </w:rPr>
        <w:t xml:space="preserve"> Letter</w:t>
      </w:r>
      <w:r w:rsidRPr="0045401F">
        <w:rPr>
          <w:sz w:val="22"/>
          <w:szCs w:val="22"/>
        </w:rPr>
        <w:t xml:space="preserve">”) confirms the </w:t>
      </w:r>
      <w:r>
        <w:rPr>
          <w:sz w:val="22"/>
          <w:szCs w:val="22"/>
        </w:rPr>
        <w:t xml:space="preserve">Transaction </w:t>
      </w:r>
      <w:r w:rsidRPr="0045401F">
        <w:rPr>
          <w:sz w:val="22"/>
          <w:szCs w:val="22"/>
        </w:rPr>
        <w:t xml:space="preserve">reached on the Trade Date between </w:t>
      </w:r>
      <w:r w:rsidRPr="00B10778">
        <w:rPr>
          <w:sz w:val="22"/>
          <w:szCs w:val="22"/>
        </w:rPr>
        <w:t>Marin Clean Energy</w:t>
      </w:r>
      <w:r>
        <w:rPr>
          <w:sz w:val="22"/>
          <w:szCs w:val="22"/>
        </w:rPr>
        <w:t>, a California joint powers authority</w:t>
      </w:r>
      <w:r w:rsidRPr="00B10778">
        <w:rPr>
          <w:sz w:val="22"/>
          <w:szCs w:val="22"/>
        </w:rPr>
        <w:t xml:space="preserve"> (“</w:t>
      </w:r>
      <w:r w:rsidRPr="00B10778">
        <w:rPr>
          <w:b/>
          <w:sz w:val="22"/>
          <w:szCs w:val="22"/>
        </w:rPr>
        <w:t>Buyer</w:t>
      </w:r>
      <w:r w:rsidRPr="00B10778">
        <w:rPr>
          <w:sz w:val="22"/>
          <w:szCs w:val="22"/>
        </w:rPr>
        <w:t xml:space="preserve">”) and </w:t>
      </w:r>
      <w:r>
        <w:rPr>
          <w:sz w:val="22"/>
          <w:szCs w:val="22"/>
        </w:rPr>
        <w:t>[</w:t>
      </w:r>
      <w:r>
        <w:rPr>
          <w:i/>
          <w:sz w:val="22"/>
          <w:szCs w:val="22"/>
        </w:rPr>
        <w:t>Seller’s Name</w:t>
      </w:r>
      <w:r w:rsidRPr="00F36066">
        <w:rPr>
          <w:sz w:val="22"/>
          <w:szCs w:val="22"/>
        </w:rPr>
        <w:t>]</w:t>
      </w:r>
      <w:r w:rsidRPr="00B10778">
        <w:rPr>
          <w:sz w:val="22"/>
          <w:szCs w:val="22"/>
        </w:rPr>
        <w:t xml:space="preserve"> (</w:t>
      </w:r>
      <w:r>
        <w:rPr>
          <w:sz w:val="22"/>
          <w:szCs w:val="22"/>
        </w:rPr>
        <w:t>“</w:t>
      </w:r>
      <w:r w:rsidRPr="00B10778">
        <w:rPr>
          <w:b/>
          <w:sz w:val="22"/>
          <w:szCs w:val="22"/>
        </w:rPr>
        <w:t>Seller</w:t>
      </w:r>
      <w:r>
        <w:rPr>
          <w:sz w:val="22"/>
          <w:szCs w:val="22"/>
        </w:rPr>
        <w:t>”</w:t>
      </w:r>
      <w:r w:rsidRPr="00B10778">
        <w:rPr>
          <w:sz w:val="22"/>
          <w:szCs w:val="22"/>
        </w:rPr>
        <w:t xml:space="preserve">) </w:t>
      </w:r>
      <w:r w:rsidRPr="0045401F">
        <w:rPr>
          <w:sz w:val="22"/>
          <w:szCs w:val="22"/>
        </w:rPr>
        <w:t xml:space="preserve">regarding the sale and purchase of the Product </w:t>
      </w:r>
      <w:r>
        <w:rPr>
          <w:sz w:val="22"/>
          <w:szCs w:val="22"/>
        </w:rPr>
        <w:t>under the terms and conditions of this Confirmation</w:t>
      </w:r>
      <w:r w:rsidR="00F20A25">
        <w:rPr>
          <w:sz w:val="22"/>
          <w:szCs w:val="22"/>
        </w:rPr>
        <w:t xml:space="preserve"> Letter</w:t>
      </w:r>
      <w:r>
        <w:rPr>
          <w:sz w:val="22"/>
          <w:szCs w:val="22"/>
        </w:rPr>
        <w:t>.  This Confirmation Letter is provided pursuant to and in accordance with the Master Power Purchase and Sale Agreement dated [</w:t>
      </w:r>
      <w:r>
        <w:rPr>
          <w:i/>
          <w:sz w:val="22"/>
          <w:szCs w:val="22"/>
        </w:rPr>
        <w:t>Effective Date</w:t>
      </w:r>
      <w:r w:rsidRPr="00191ADC">
        <w:rPr>
          <w:sz w:val="22"/>
          <w:szCs w:val="22"/>
        </w:rPr>
        <w:t>]</w:t>
      </w:r>
      <w:r>
        <w:rPr>
          <w:sz w:val="22"/>
          <w:szCs w:val="22"/>
        </w:rPr>
        <w:t xml:space="preserve">, </w:t>
      </w:r>
      <w:r w:rsidRPr="0045401F">
        <w:rPr>
          <w:sz w:val="22"/>
          <w:szCs w:val="22"/>
        </w:rPr>
        <w:t>together with any and all exhibits, schedules or supplements thereto or incorporated therein by reference, each in force and effect from time to time between the Parties (collectively, the “</w:t>
      </w:r>
      <w:r w:rsidRPr="00EC7028">
        <w:rPr>
          <w:b/>
          <w:sz w:val="22"/>
          <w:szCs w:val="22"/>
        </w:rPr>
        <w:t>Master Agreement</w:t>
      </w:r>
      <w:r w:rsidRPr="0045401F">
        <w:rPr>
          <w:sz w:val="22"/>
          <w:szCs w:val="22"/>
        </w:rPr>
        <w:t>”)</w:t>
      </w:r>
      <w:r>
        <w:rPr>
          <w:sz w:val="22"/>
          <w:szCs w:val="22"/>
        </w:rPr>
        <w:t xml:space="preserve"> and constitutes part of and is subject to the terms and provisions of such Master Agreement.  </w:t>
      </w:r>
      <w:r w:rsidR="00AF73C3" w:rsidRPr="001F75BF">
        <w:rPr>
          <w:sz w:val="22"/>
          <w:szCs w:val="22"/>
        </w:rPr>
        <w:t xml:space="preserve">The </w:t>
      </w:r>
      <w:r w:rsidR="00AF73C3">
        <w:rPr>
          <w:sz w:val="22"/>
          <w:szCs w:val="22"/>
        </w:rPr>
        <w:t xml:space="preserve">Master Agreement </w:t>
      </w:r>
      <w:r w:rsidR="00AF73C3" w:rsidRPr="001F75BF">
        <w:rPr>
          <w:sz w:val="22"/>
          <w:szCs w:val="22"/>
        </w:rPr>
        <w:t>and this Confirmation shall be collectively referred to herein as the “</w:t>
      </w:r>
      <w:r w:rsidR="00AF73C3" w:rsidRPr="001F75BF">
        <w:rPr>
          <w:b/>
          <w:sz w:val="22"/>
          <w:szCs w:val="22"/>
        </w:rPr>
        <w:t>Agreement</w:t>
      </w:r>
      <w:r w:rsidR="00AF73C3">
        <w:rPr>
          <w:sz w:val="22"/>
          <w:szCs w:val="22"/>
        </w:rPr>
        <w:t>.”</w:t>
      </w:r>
      <w:r w:rsidR="00AF73C3" w:rsidRPr="001F75BF">
        <w:rPr>
          <w:sz w:val="22"/>
          <w:szCs w:val="22"/>
        </w:rPr>
        <w:t xml:space="preserve">  </w:t>
      </w:r>
      <w:r w:rsidR="00AF73C3" w:rsidRPr="00B10778">
        <w:rPr>
          <w:sz w:val="22"/>
          <w:szCs w:val="22"/>
        </w:rPr>
        <w:t>Capitalized terms used but not defined herein shall have the meaning given to them in the Master Agreement</w:t>
      </w:r>
      <w:r w:rsidR="00AF73C3">
        <w:rPr>
          <w:sz w:val="22"/>
          <w:szCs w:val="22"/>
        </w:rPr>
        <w:t>.  This Agreement</w:t>
      </w:r>
      <w:r w:rsidR="00AF73C3" w:rsidRPr="00B10778">
        <w:rPr>
          <w:sz w:val="22"/>
          <w:szCs w:val="22"/>
        </w:rPr>
        <w:t xml:space="preserve"> shall constitute the Transaction between the Parties related to the subject matter hereof and supersedes and replaces any prior oral or written confirmation, including broker confirmations, regarding this Transaction</w:t>
      </w:r>
    </w:p>
    <w:p w:rsidR="00691044" w:rsidRPr="00F96DE2" w:rsidRDefault="00691044">
      <w:pPr>
        <w:jc w:val="both"/>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02"/>
        <w:gridCol w:w="5374"/>
      </w:tblGrid>
      <w:tr w:rsidR="00850D7E" w:rsidRPr="00F96DE2" w:rsidTr="001E062A">
        <w:tc>
          <w:tcPr>
            <w:tcW w:w="4202" w:type="dxa"/>
          </w:tcPr>
          <w:p w:rsidR="00850D7E" w:rsidRPr="00A43E71" w:rsidRDefault="00850D7E" w:rsidP="00691044">
            <w:pPr>
              <w:rPr>
                <w:rFonts w:eastAsia="Calibri"/>
                <w:b/>
                <w:sz w:val="22"/>
                <w:szCs w:val="22"/>
              </w:rPr>
            </w:pPr>
            <w:r w:rsidRPr="00A43E71">
              <w:rPr>
                <w:rFonts w:eastAsia="Calibri"/>
                <w:b/>
                <w:sz w:val="22"/>
                <w:szCs w:val="22"/>
              </w:rPr>
              <w:t>Trade Date:</w:t>
            </w:r>
          </w:p>
        </w:tc>
        <w:tc>
          <w:tcPr>
            <w:tcW w:w="5374" w:type="dxa"/>
          </w:tcPr>
          <w:p w:rsidR="00850D7E" w:rsidRDefault="00850D7E" w:rsidP="00A43E71">
            <w:pPr>
              <w:rPr>
                <w:sz w:val="22"/>
              </w:rPr>
            </w:pPr>
            <w:r w:rsidRPr="00A43E71">
              <w:rPr>
                <w:sz w:val="22"/>
              </w:rPr>
              <w:t>[</w:t>
            </w:r>
            <w:r w:rsidRPr="00A43E71">
              <w:rPr>
                <w:i/>
                <w:sz w:val="22"/>
              </w:rPr>
              <w:t>Trade Date</w:t>
            </w:r>
            <w:r w:rsidRPr="00A43E71">
              <w:rPr>
                <w:sz w:val="22"/>
              </w:rPr>
              <w:t>]</w:t>
            </w:r>
          </w:p>
          <w:p w:rsidR="00B54435" w:rsidRPr="00A43E71" w:rsidRDefault="00B54435" w:rsidP="00A43E71">
            <w:pPr>
              <w:rPr>
                <w:sz w:val="22"/>
              </w:rPr>
            </w:pPr>
          </w:p>
        </w:tc>
      </w:tr>
      <w:tr w:rsidR="00850D7E" w:rsidRPr="00F96DE2" w:rsidTr="001E062A">
        <w:tc>
          <w:tcPr>
            <w:tcW w:w="4202" w:type="dxa"/>
          </w:tcPr>
          <w:p w:rsidR="00850D7E" w:rsidRPr="00A43E71" w:rsidRDefault="00F20A25" w:rsidP="00691044">
            <w:pPr>
              <w:rPr>
                <w:rFonts w:eastAsia="Calibri"/>
                <w:b/>
                <w:sz w:val="22"/>
                <w:szCs w:val="22"/>
              </w:rPr>
            </w:pPr>
            <w:r w:rsidRPr="00A43E71">
              <w:rPr>
                <w:rFonts w:eastAsia="Calibri"/>
                <w:b/>
                <w:sz w:val="22"/>
                <w:szCs w:val="22"/>
              </w:rPr>
              <w:t>Effective Date:</w:t>
            </w:r>
          </w:p>
        </w:tc>
        <w:tc>
          <w:tcPr>
            <w:tcW w:w="5374" w:type="dxa"/>
          </w:tcPr>
          <w:p w:rsidR="00850D7E" w:rsidRDefault="00F20A25" w:rsidP="00A43E71">
            <w:pPr>
              <w:rPr>
                <w:sz w:val="22"/>
                <w:szCs w:val="22"/>
              </w:rPr>
            </w:pPr>
            <w:r w:rsidRPr="00A43E71">
              <w:rPr>
                <w:sz w:val="22"/>
                <w:szCs w:val="22"/>
              </w:rPr>
              <w:t>The Effective Date is the date upon which this Confirmation Letter has been executed by both Parties.</w:t>
            </w:r>
          </w:p>
          <w:p w:rsidR="00B54435" w:rsidRPr="00A43E71" w:rsidRDefault="00B54435" w:rsidP="00A43E71">
            <w:pPr>
              <w:rPr>
                <w:sz w:val="22"/>
              </w:rPr>
            </w:pPr>
          </w:p>
        </w:tc>
      </w:tr>
      <w:tr w:rsidR="00F20A25" w:rsidRPr="00F96DE2" w:rsidTr="001E062A">
        <w:tc>
          <w:tcPr>
            <w:tcW w:w="4202" w:type="dxa"/>
          </w:tcPr>
          <w:p w:rsidR="00F20A25" w:rsidRPr="00A43E71" w:rsidRDefault="00F20A25">
            <w:pPr>
              <w:rPr>
                <w:b/>
              </w:rPr>
            </w:pPr>
            <w:r w:rsidRPr="00A43E71">
              <w:rPr>
                <w:b/>
                <w:sz w:val="22"/>
                <w:szCs w:val="22"/>
              </w:rPr>
              <w:t>Trade ID(s):</w:t>
            </w:r>
          </w:p>
        </w:tc>
        <w:tc>
          <w:tcPr>
            <w:tcW w:w="5374" w:type="dxa"/>
          </w:tcPr>
          <w:p w:rsidR="00F20A25" w:rsidRPr="00A43E71" w:rsidRDefault="00F20A25" w:rsidP="00A43E71"/>
        </w:tc>
      </w:tr>
      <w:tr w:rsidR="00691044" w:rsidRPr="00F96DE2" w:rsidTr="001E062A">
        <w:tc>
          <w:tcPr>
            <w:tcW w:w="4202" w:type="dxa"/>
          </w:tcPr>
          <w:p w:rsidR="00691044" w:rsidRPr="00A43E71" w:rsidRDefault="00691044" w:rsidP="00691044">
            <w:pPr>
              <w:rPr>
                <w:rFonts w:eastAsia="Calibri"/>
                <w:b/>
                <w:sz w:val="22"/>
                <w:szCs w:val="22"/>
              </w:rPr>
            </w:pPr>
            <w:r w:rsidRPr="00A43E71">
              <w:rPr>
                <w:rFonts w:eastAsia="Calibri"/>
                <w:b/>
                <w:sz w:val="22"/>
                <w:szCs w:val="22"/>
              </w:rPr>
              <w:t>Buyer</w:t>
            </w:r>
            <w:r w:rsidR="00A43E71">
              <w:rPr>
                <w:rFonts w:eastAsia="Calibri"/>
                <w:b/>
                <w:sz w:val="22"/>
                <w:szCs w:val="22"/>
              </w:rPr>
              <w:t>:</w:t>
            </w:r>
          </w:p>
        </w:tc>
        <w:tc>
          <w:tcPr>
            <w:tcW w:w="5374" w:type="dxa"/>
          </w:tcPr>
          <w:p w:rsidR="00562ED9" w:rsidRDefault="006723DB" w:rsidP="00B54435">
            <w:pPr>
              <w:rPr>
                <w:sz w:val="22"/>
              </w:rPr>
            </w:pPr>
            <w:r w:rsidRPr="00A43E71">
              <w:rPr>
                <w:sz w:val="22"/>
              </w:rPr>
              <w:t xml:space="preserve">Marin </w:t>
            </w:r>
            <w:r w:rsidR="00A05542" w:rsidRPr="00A43E71">
              <w:rPr>
                <w:sz w:val="22"/>
              </w:rPr>
              <w:t xml:space="preserve">Clean </w:t>
            </w:r>
            <w:r w:rsidRPr="00A43E71">
              <w:rPr>
                <w:sz w:val="22"/>
              </w:rPr>
              <w:t xml:space="preserve">Energy </w:t>
            </w:r>
            <w:r w:rsidR="00494968" w:rsidRPr="00A43E71">
              <w:rPr>
                <w:sz w:val="22"/>
              </w:rPr>
              <w:t xml:space="preserve"> (“Buyer”)</w:t>
            </w:r>
            <w:r w:rsidRPr="00A43E71">
              <w:rPr>
                <w:sz w:val="22"/>
              </w:rPr>
              <w:t xml:space="preserve"> </w:t>
            </w:r>
          </w:p>
          <w:p w:rsidR="00B54435" w:rsidRPr="00A43E71" w:rsidRDefault="00B54435" w:rsidP="00B54435">
            <w:pPr>
              <w:rPr>
                <w:rFonts w:eastAsia="Calibri"/>
                <w:sz w:val="22"/>
                <w:szCs w:val="22"/>
              </w:rPr>
            </w:pPr>
          </w:p>
        </w:tc>
      </w:tr>
      <w:tr w:rsidR="00691044" w:rsidRPr="00F96DE2" w:rsidTr="001E062A">
        <w:tc>
          <w:tcPr>
            <w:tcW w:w="4202" w:type="dxa"/>
          </w:tcPr>
          <w:p w:rsidR="00691044" w:rsidRPr="00A43E71" w:rsidRDefault="00691044" w:rsidP="00691044">
            <w:pPr>
              <w:rPr>
                <w:rFonts w:eastAsia="Calibri"/>
                <w:b/>
                <w:sz w:val="22"/>
                <w:szCs w:val="22"/>
              </w:rPr>
            </w:pPr>
            <w:r w:rsidRPr="00A43E71">
              <w:rPr>
                <w:rFonts w:eastAsia="Calibri"/>
                <w:b/>
                <w:sz w:val="22"/>
                <w:szCs w:val="22"/>
              </w:rPr>
              <w:t>Seller</w:t>
            </w:r>
            <w:r w:rsidR="00A43E71">
              <w:rPr>
                <w:rFonts w:eastAsia="Calibri"/>
                <w:b/>
                <w:sz w:val="22"/>
                <w:szCs w:val="22"/>
              </w:rPr>
              <w:t>:</w:t>
            </w:r>
          </w:p>
        </w:tc>
        <w:tc>
          <w:tcPr>
            <w:tcW w:w="5374" w:type="dxa"/>
          </w:tcPr>
          <w:p w:rsidR="00562ED9" w:rsidRDefault="00201C35" w:rsidP="00B54435">
            <w:pPr>
              <w:rPr>
                <w:rFonts w:eastAsia="Calibri"/>
                <w:sz w:val="22"/>
                <w:szCs w:val="22"/>
              </w:rPr>
            </w:pPr>
            <w:r w:rsidRPr="00A43E71">
              <w:rPr>
                <w:rFonts w:eastAsia="Calibri"/>
                <w:sz w:val="22"/>
                <w:szCs w:val="22"/>
              </w:rPr>
              <w:t>[</w:t>
            </w:r>
            <w:r w:rsidR="00F20A25" w:rsidRPr="00A43E71">
              <w:rPr>
                <w:rFonts w:eastAsia="Calibri"/>
                <w:i/>
                <w:sz w:val="22"/>
                <w:szCs w:val="22"/>
              </w:rPr>
              <w:t>Seller</w:t>
            </w:r>
            <w:r w:rsidRPr="00A43E71">
              <w:rPr>
                <w:rFonts w:eastAsia="Calibri"/>
                <w:sz w:val="22"/>
                <w:szCs w:val="22"/>
              </w:rPr>
              <w:t>]</w:t>
            </w:r>
            <w:r w:rsidR="00A05542" w:rsidRPr="00A43E71">
              <w:rPr>
                <w:rFonts w:eastAsia="Calibri"/>
                <w:sz w:val="22"/>
                <w:szCs w:val="22"/>
              </w:rPr>
              <w:t xml:space="preserve"> </w:t>
            </w:r>
            <w:r w:rsidR="00691044" w:rsidRPr="00A43E71">
              <w:rPr>
                <w:rFonts w:eastAsia="Calibri"/>
                <w:sz w:val="22"/>
                <w:szCs w:val="22"/>
              </w:rPr>
              <w:t>(“Seller”)</w:t>
            </w:r>
            <w:r w:rsidR="006B283F" w:rsidRPr="00A43E71">
              <w:rPr>
                <w:rFonts w:eastAsia="Calibri"/>
                <w:sz w:val="22"/>
                <w:szCs w:val="22"/>
              </w:rPr>
              <w:t xml:space="preserve"> </w:t>
            </w:r>
          </w:p>
          <w:p w:rsidR="00B54435" w:rsidRPr="00A43E71" w:rsidRDefault="00B54435" w:rsidP="00B54435">
            <w:pPr>
              <w:rPr>
                <w:rFonts w:eastAsia="Calibri"/>
                <w:sz w:val="22"/>
                <w:szCs w:val="22"/>
              </w:rPr>
            </w:pPr>
          </w:p>
        </w:tc>
      </w:tr>
      <w:tr w:rsidR="00691044" w:rsidRPr="00F96DE2" w:rsidTr="001E062A">
        <w:tc>
          <w:tcPr>
            <w:tcW w:w="4202" w:type="dxa"/>
          </w:tcPr>
          <w:p w:rsidR="00691044" w:rsidRPr="00A43E71" w:rsidRDefault="00691044" w:rsidP="00691044">
            <w:pPr>
              <w:rPr>
                <w:rFonts w:eastAsia="Calibri"/>
                <w:b/>
                <w:sz w:val="22"/>
                <w:szCs w:val="22"/>
              </w:rPr>
            </w:pPr>
            <w:r w:rsidRPr="00A43E71">
              <w:rPr>
                <w:rFonts w:eastAsia="Calibri"/>
                <w:b/>
                <w:sz w:val="22"/>
                <w:szCs w:val="22"/>
              </w:rPr>
              <w:t>Product</w:t>
            </w:r>
            <w:r w:rsidR="00A43E71">
              <w:rPr>
                <w:rFonts w:eastAsia="Calibri"/>
                <w:b/>
                <w:sz w:val="22"/>
                <w:szCs w:val="22"/>
              </w:rPr>
              <w:t>:</w:t>
            </w:r>
          </w:p>
        </w:tc>
        <w:tc>
          <w:tcPr>
            <w:tcW w:w="5374" w:type="dxa"/>
          </w:tcPr>
          <w:p w:rsidR="00962D8A" w:rsidRDefault="00691044" w:rsidP="00A43E71">
            <w:pPr>
              <w:rPr>
                <w:rFonts w:eastAsia="Calibri"/>
                <w:sz w:val="22"/>
                <w:szCs w:val="22"/>
              </w:rPr>
            </w:pPr>
            <w:r w:rsidRPr="00A43E71">
              <w:rPr>
                <w:rFonts w:eastAsia="Calibri"/>
                <w:sz w:val="22"/>
                <w:szCs w:val="22"/>
              </w:rPr>
              <w:t xml:space="preserve">The “Product” shall mean bundled </w:t>
            </w:r>
            <w:r w:rsidR="006B283F" w:rsidRPr="00A43E71">
              <w:rPr>
                <w:rFonts w:eastAsia="Calibri"/>
                <w:sz w:val="22"/>
                <w:szCs w:val="22"/>
              </w:rPr>
              <w:t xml:space="preserve">renewable </w:t>
            </w:r>
            <w:r w:rsidRPr="00A43E71">
              <w:rPr>
                <w:rFonts w:eastAsia="Calibri"/>
                <w:sz w:val="22"/>
                <w:szCs w:val="22"/>
              </w:rPr>
              <w:t>energy</w:t>
            </w:r>
            <w:r w:rsidR="006B283F" w:rsidRPr="00A43E71">
              <w:rPr>
                <w:rFonts w:eastAsia="Calibri"/>
                <w:sz w:val="22"/>
                <w:szCs w:val="22"/>
              </w:rPr>
              <w:t>, which is comprised of energy generated by the Project(s)</w:t>
            </w:r>
            <w:r w:rsidR="008D4ED6" w:rsidRPr="00A43E71">
              <w:rPr>
                <w:rFonts w:eastAsia="Calibri"/>
                <w:sz w:val="22"/>
                <w:szCs w:val="22"/>
              </w:rPr>
              <w:t xml:space="preserve"> (also referred to herein as </w:t>
            </w:r>
            <w:r w:rsidR="00D25053" w:rsidRPr="00A43E71">
              <w:rPr>
                <w:rFonts w:eastAsia="Calibri"/>
                <w:sz w:val="22"/>
                <w:szCs w:val="22"/>
              </w:rPr>
              <w:t xml:space="preserve">“energy” or </w:t>
            </w:r>
            <w:r w:rsidR="008D4ED6" w:rsidRPr="00A43E71">
              <w:rPr>
                <w:rFonts w:eastAsia="Calibri"/>
                <w:sz w:val="22"/>
                <w:szCs w:val="22"/>
              </w:rPr>
              <w:t xml:space="preserve">“electricity”) and the associated Green Attributes, </w:t>
            </w:r>
            <w:r w:rsidRPr="00A43E71">
              <w:rPr>
                <w:rFonts w:eastAsia="Calibri"/>
                <w:sz w:val="22"/>
                <w:szCs w:val="22"/>
              </w:rPr>
              <w:t>inclu</w:t>
            </w:r>
            <w:r w:rsidR="00145792" w:rsidRPr="00A43E71">
              <w:rPr>
                <w:rFonts w:eastAsia="Calibri"/>
                <w:sz w:val="22"/>
                <w:szCs w:val="22"/>
              </w:rPr>
              <w:t>ding</w:t>
            </w:r>
            <w:r w:rsidRPr="00A43E71">
              <w:rPr>
                <w:rFonts w:eastAsia="Calibri"/>
                <w:sz w:val="22"/>
                <w:szCs w:val="22"/>
              </w:rPr>
              <w:t xml:space="preserve"> Renewable Energy Credits</w:t>
            </w:r>
            <w:r w:rsidR="00562ED9" w:rsidRPr="00A43E71">
              <w:rPr>
                <w:rFonts w:eastAsia="Calibri"/>
                <w:sz w:val="22"/>
                <w:szCs w:val="22"/>
              </w:rPr>
              <w:t xml:space="preserve">, delivered on a unit firm </w:t>
            </w:r>
            <w:r w:rsidRPr="00A43E71">
              <w:rPr>
                <w:rFonts w:eastAsia="Calibri"/>
                <w:sz w:val="22"/>
                <w:szCs w:val="22"/>
              </w:rPr>
              <w:t xml:space="preserve">basis </w:t>
            </w:r>
            <w:r w:rsidR="00F84F5A" w:rsidRPr="00A43E71">
              <w:rPr>
                <w:rFonts w:eastAsia="Calibri"/>
                <w:sz w:val="22"/>
                <w:szCs w:val="22"/>
              </w:rPr>
              <w:t xml:space="preserve">during </w:t>
            </w:r>
            <w:r w:rsidRPr="00A43E71">
              <w:rPr>
                <w:rFonts w:eastAsia="Calibri"/>
                <w:sz w:val="22"/>
                <w:szCs w:val="22"/>
              </w:rPr>
              <w:t>the Delivery Term.</w:t>
            </w:r>
          </w:p>
          <w:p w:rsidR="00B54435" w:rsidRPr="00A43E71" w:rsidRDefault="00B54435" w:rsidP="00A43E71">
            <w:pPr>
              <w:rPr>
                <w:rFonts w:eastAsia="Calibri"/>
                <w:sz w:val="22"/>
                <w:szCs w:val="22"/>
              </w:rPr>
            </w:pPr>
          </w:p>
        </w:tc>
      </w:tr>
      <w:tr w:rsidR="00691044" w:rsidRPr="00F96DE2" w:rsidTr="001E062A">
        <w:trPr>
          <w:trHeight w:val="710"/>
        </w:trPr>
        <w:tc>
          <w:tcPr>
            <w:tcW w:w="4202" w:type="dxa"/>
          </w:tcPr>
          <w:p w:rsidR="00691044" w:rsidRPr="00A43E71" w:rsidRDefault="00691044" w:rsidP="00691044">
            <w:pPr>
              <w:rPr>
                <w:rFonts w:eastAsia="Calibri"/>
                <w:b/>
                <w:sz w:val="22"/>
                <w:szCs w:val="22"/>
              </w:rPr>
            </w:pPr>
            <w:r w:rsidRPr="00A43E71">
              <w:rPr>
                <w:rFonts w:eastAsia="Calibri"/>
                <w:b/>
                <w:sz w:val="22"/>
                <w:szCs w:val="22"/>
              </w:rPr>
              <w:t>Green Attributes</w:t>
            </w:r>
            <w:r w:rsidR="00A43E71">
              <w:rPr>
                <w:rFonts w:eastAsia="Calibri"/>
                <w:b/>
                <w:sz w:val="22"/>
                <w:szCs w:val="22"/>
              </w:rPr>
              <w:t>:</w:t>
            </w:r>
          </w:p>
        </w:tc>
        <w:tc>
          <w:tcPr>
            <w:tcW w:w="5374" w:type="dxa"/>
          </w:tcPr>
          <w:p w:rsidR="00691044" w:rsidRPr="00755372" w:rsidRDefault="00691044" w:rsidP="00755372">
            <w:pPr>
              <w:rPr>
                <w:rFonts w:eastAsia="Calibri"/>
                <w:sz w:val="22"/>
                <w:szCs w:val="22"/>
              </w:rPr>
            </w:pPr>
            <w:r w:rsidRPr="00755372">
              <w:rPr>
                <w:rFonts w:eastAsia="Calibri"/>
                <w:sz w:val="22"/>
                <w:szCs w:val="22"/>
              </w:rPr>
              <w:t xml:space="preserve">The Product shall include all Green Attributes associated with the energy.  </w:t>
            </w:r>
          </w:p>
          <w:p w:rsidR="00691044" w:rsidRPr="00755372" w:rsidRDefault="00691044" w:rsidP="00755372">
            <w:pPr>
              <w:rPr>
                <w:rFonts w:eastAsia="Calibri"/>
                <w:sz w:val="22"/>
                <w:szCs w:val="22"/>
              </w:rPr>
            </w:pPr>
          </w:p>
          <w:p w:rsidR="00691044" w:rsidRPr="00755372" w:rsidRDefault="00691044" w:rsidP="00755372">
            <w:pPr>
              <w:rPr>
                <w:rFonts w:eastAsia="Calibri"/>
                <w:sz w:val="22"/>
                <w:szCs w:val="22"/>
              </w:rPr>
            </w:pPr>
            <w:r w:rsidRPr="00755372">
              <w:rPr>
                <w:rFonts w:eastAsia="Calibri"/>
                <w:sz w:val="22"/>
                <w:szCs w:val="22"/>
              </w:rPr>
              <w:t xml:space="preserve">“Green Attributes” means any and all credits, benefits, emissions reductions, offsets, and allowances, howsoever </w:t>
            </w:r>
            <w:r w:rsidRPr="00755372">
              <w:rPr>
                <w:rFonts w:eastAsia="Calibri"/>
                <w:sz w:val="22"/>
                <w:szCs w:val="22"/>
              </w:rPr>
              <w:lastRenderedPageBreak/>
              <w:t xml:space="preserve">entitled, attributable to the generation from the Project, and its avoided emission of pollutants.  Green Attributes include but are not limited to Renewable Energy Credits, as well as:  </w:t>
            </w:r>
          </w:p>
          <w:p w:rsidR="00691044" w:rsidRPr="00755372" w:rsidRDefault="00691044" w:rsidP="00755372">
            <w:pPr>
              <w:rPr>
                <w:rFonts w:eastAsia="Calibri"/>
                <w:sz w:val="22"/>
                <w:szCs w:val="22"/>
              </w:rPr>
            </w:pPr>
            <w:r w:rsidRPr="00755372">
              <w:rPr>
                <w:rFonts w:eastAsia="Calibri"/>
                <w:sz w:val="22"/>
                <w:szCs w:val="22"/>
              </w:rPr>
              <w:t xml:space="preserve">(1) </w:t>
            </w:r>
            <w:r w:rsidRPr="00755372">
              <w:rPr>
                <w:rFonts w:eastAsia="Calibri"/>
                <w:sz w:val="22"/>
                <w:szCs w:val="22"/>
              </w:rPr>
              <w:tab/>
              <w:t xml:space="preserve">any avoided emission of pollutants to the air, soil or water such as sulfur oxides (SOx), nitrogen oxides (NOx), carbon monoxide (CO) and other pollutants; </w:t>
            </w:r>
          </w:p>
          <w:p w:rsidR="00691044" w:rsidRPr="00755372" w:rsidRDefault="00691044" w:rsidP="00755372">
            <w:pPr>
              <w:rPr>
                <w:rFonts w:eastAsia="Calibri"/>
                <w:sz w:val="22"/>
                <w:szCs w:val="22"/>
              </w:rPr>
            </w:pPr>
            <w:r w:rsidRPr="00755372">
              <w:rPr>
                <w:rFonts w:eastAsia="Calibri"/>
                <w:sz w:val="22"/>
                <w:szCs w:val="22"/>
              </w:rPr>
              <w:t xml:space="preserve">(2) </w:t>
            </w:r>
            <w:r w:rsidRPr="00755372">
              <w:rPr>
                <w:rFonts w:eastAsia="Calibri"/>
                <w:sz w:val="22"/>
                <w:szCs w:val="22"/>
              </w:rPr>
              <w:tab/>
              <w:t>any avoided emissions of carbon dioxide (CO2), methane (CH4),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trapping heat in the atmosphere</w:t>
            </w:r>
            <w:r w:rsidRPr="00755372">
              <w:rPr>
                <w:rFonts w:eastAsia="Calibri"/>
                <w:sz w:val="22"/>
                <w:szCs w:val="22"/>
                <w:vertAlign w:val="superscript"/>
              </w:rPr>
              <w:t>1</w:t>
            </w:r>
            <w:r w:rsidRPr="00755372">
              <w:rPr>
                <w:rFonts w:eastAsia="Calibri"/>
                <w:sz w:val="22"/>
                <w:szCs w:val="22"/>
              </w:rPr>
              <w:t xml:space="preserve">;  </w:t>
            </w:r>
          </w:p>
          <w:p w:rsidR="00691044" w:rsidRPr="00755372" w:rsidRDefault="00691044" w:rsidP="00755372">
            <w:pPr>
              <w:rPr>
                <w:rFonts w:eastAsia="Calibri"/>
                <w:sz w:val="22"/>
                <w:szCs w:val="22"/>
              </w:rPr>
            </w:pPr>
            <w:r w:rsidRPr="00755372">
              <w:rPr>
                <w:rFonts w:eastAsia="Calibri"/>
                <w:sz w:val="22"/>
                <w:szCs w:val="22"/>
              </w:rPr>
              <w:t>(3)</w:t>
            </w:r>
            <w:r w:rsidRPr="00755372">
              <w:rPr>
                <w:rFonts w:eastAsia="Calibri"/>
                <w:sz w:val="22"/>
                <w:szCs w:val="22"/>
              </w:rPr>
              <w:tab/>
              <w:t xml:space="preserve">the reporting rights to these avoided emissions, such as 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 Attributes associated with one (1) MWh of </w:t>
            </w:r>
            <w:r w:rsidR="00F84F5A" w:rsidRPr="00755372">
              <w:rPr>
                <w:rFonts w:eastAsia="Calibri"/>
                <w:sz w:val="22"/>
                <w:szCs w:val="22"/>
              </w:rPr>
              <w:t>E</w:t>
            </w:r>
            <w:r w:rsidRPr="00755372">
              <w:rPr>
                <w:rFonts w:eastAsia="Calibri"/>
                <w:sz w:val="22"/>
                <w:szCs w:val="22"/>
              </w:rPr>
              <w:t xml:space="preserve">nergy.  </w:t>
            </w:r>
          </w:p>
          <w:p w:rsidR="00691044" w:rsidRPr="00755372" w:rsidRDefault="00691044" w:rsidP="00755372">
            <w:pPr>
              <w:rPr>
                <w:rFonts w:eastAsia="Calibri"/>
                <w:sz w:val="22"/>
                <w:szCs w:val="22"/>
              </w:rPr>
            </w:pPr>
            <w:r w:rsidRPr="00755372">
              <w:rPr>
                <w:rFonts w:eastAsia="Calibri"/>
                <w:sz w:val="22"/>
                <w:szCs w:val="22"/>
              </w:rPr>
              <w:t xml:space="preserve">Green Attributes do not include:  </w:t>
            </w:r>
          </w:p>
          <w:p w:rsidR="00691044" w:rsidRPr="00755372" w:rsidRDefault="00691044" w:rsidP="00755372">
            <w:pPr>
              <w:rPr>
                <w:rFonts w:eastAsia="Calibri"/>
                <w:sz w:val="22"/>
                <w:szCs w:val="22"/>
              </w:rPr>
            </w:pPr>
            <w:r w:rsidRPr="00755372">
              <w:rPr>
                <w:rFonts w:eastAsia="Calibri"/>
                <w:sz w:val="22"/>
                <w:szCs w:val="22"/>
              </w:rPr>
              <w:t xml:space="preserve">(i) </w:t>
            </w:r>
            <w:r w:rsidRPr="00755372">
              <w:rPr>
                <w:rFonts w:eastAsia="Calibri"/>
                <w:sz w:val="22"/>
                <w:szCs w:val="22"/>
              </w:rPr>
              <w:tab/>
              <w:t xml:space="preserve">any energy, capacity, reliability or other power attributes from the Project, </w:t>
            </w:r>
          </w:p>
          <w:p w:rsidR="00691044" w:rsidRPr="00755372" w:rsidRDefault="00691044" w:rsidP="00755372">
            <w:pPr>
              <w:rPr>
                <w:rFonts w:eastAsia="Calibri"/>
                <w:sz w:val="22"/>
                <w:szCs w:val="22"/>
              </w:rPr>
            </w:pPr>
            <w:r w:rsidRPr="00755372">
              <w:rPr>
                <w:rFonts w:eastAsia="Calibri"/>
                <w:sz w:val="22"/>
                <w:szCs w:val="22"/>
              </w:rPr>
              <w:t xml:space="preserve">(ii) </w:t>
            </w:r>
            <w:r w:rsidRPr="00755372">
              <w:rPr>
                <w:rFonts w:eastAsia="Calibri"/>
                <w:sz w:val="22"/>
                <w:szCs w:val="22"/>
              </w:rPr>
              <w:tab/>
              <w:t xml:space="preserve">production tax credits associated with the construction or operation of the Project  and other financial incentives in the form of credits, reductions, or allowances associated with the Project  that are applicable to a state or federal income taxation obligation, </w:t>
            </w:r>
          </w:p>
          <w:p w:rsidR="00691044" w:rsidRPr="00755372" w:rsidRDefault="00691044" w:rsidP="00755372">
            <w:pPr>
              <w:rPr>
                <w:rFonts w:eastAsia="Calibri"/>
                <w:sz w:val="22"/>
                <w:szCs w:val="22"/>
              </w:rPr>
            </w:pPr>
            <w:r w:rsidRPr="00755372">
              <w:rPr>
                <w:rFonts w:eastAsia="Calibri"/>
                <w:sz w:val="22"/>
                <w:szCs w:val="22"/>
              </w:rPr>
              <w:t xml:space="preserve">(iii) </w:t>
            </w:r>
            <w:r w:rsidRPr="00755372">
              <w:rPr>
                <w:rFonts w:eastAsia="Calibri"/>
                <w:sz w:val="22"/>
                <w:szCs w:val="22"/>
              </w:rPr>
              <w:tab/>
              <w:t>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or biogas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Project. [STC 2]</w:t>
            </w:r>
          </w:p>
          <w:p w:rsidR="00691044" w:rsidRPr="00755372" w:rsidRDefault="00691044" w:rsidP="00755372">
            <w:pPr>
              <w:rPr>
                <w:rFonts w:eastAsia="Calibri"/>
                <w:sz w:val="22"/>
                <w:szCs w:val="22"/>
              </w:rPr>
            </w:pPr>
          </w:p>
          <w:p w:rsidR="00962D8A" w:rsidRPr="00755372" w:rsidRDefault="00691044" w:rsidP="00755372">
            <w:pPr>
              <w:numPr>
                <w:ilvl w:val="0"/>
                <w:numId w:val="12"/>
              </w:numPr>
              <w:ind w:left="298" w:hanging="270"/>
              <w:rPr>
                <w:rFonts w:eastAsia="Calibri"/>
                <w:sz w:val="22"/>
                <w:szCs w:val="22"/>
              </w:rPr>
            </w:pPr>
            <w:r w:rsidRPr="00755372">
              <w:rPr>
                <w:rFonts w:eastAsia="Calibri"/>
                <w:sz w:val="22"/>
                <w:szCs w:val="22"/>
              </w:rPr>
              <w:t>Avoided emissions may or may not have any value for GHG compliance purposes.  Although avoided emissions are included in the list of Green Attributes, this inclusion does not create any right to use those avoided emissions to comply with any GHG regulatory program.</w:t>
            </w:r>
          </w:p>
          <w:p w:rsidR="00691044" w:rsidRPr="00755372" w:rsidRDefault="00691044" w:rsidP="00755372">
            <w:pPr>
              <w:ind w:left="298"/>
              <w:rPr>
                <w:rFonts w:eastAsia="Calibri"/>
                <w:sz w:val="22"/>
                <w:szCs w:val="22"/>
              </w:rPr>
            </w:pPr>
            <w:r w:rsidRPr="00755372">
              <w:rPr>
                <w:rFonts w:eastAsia="Calibri"/>
                <w:sz w:val="22"/>
                <w:szCs w:val="22"/>
              </w:rPr>
              <w:t xml:space="preserve"> </w:t>
            </w:r>
          </w:p>
        </w:tc>
      </w:tr>
      <w:tr w:rsidR="00691044" w:rsidRPr="00F96DE2" w:rsidTr="001E062A">
        <w:tc>
          <w:tcPr>
            <w:tcW w:w="4202" w:type="dxa"/>
          </w:tcPr>
          <w:p w:rsidR="00691044" w:rsidRPr="00755372" w:rsidRDefault="00691044" w:rsidP="00691044">
            <w:pPr>
              <w:rPr>
                <w:rFonts w:eastAsia="Calibri"/>
                <w:b/>
                <w:sz w:val="22"/>
                <w:szCs w:val="22"/>
              </w:rPr>
            </w:pPr>
            <w:r w:rsidRPr="00755372">
              <w:rPr>
                <w:rFonts w:eastAsia="Calibri"/>
                <w:b/>
                <w:sz w:val="22"/>
                <w:szCs w:val="22"/>
              </w:rPr>
              <w:lastRenderedPageBreak/>
              <w:t>Project</w:t>
            </w:r>
            <w:r w:rsidR="00755372">
              <w:rPr>
                <w:rFonts w:eastAsia="Calibri"/>
                <w:b/>
                <w:sz w:val="22"/>
                <w:szCs w:val="22"/>
              </w:rPr>
              <w:t>:</w:t>
            </w:r>
            <w:r w:rsidRPr="00755372">
              <w:rPr>
                <w:rFonts w:eastAsia="Calibri"/>
                <w:b/>
                <w:sz w:val="22"/>
                <w:szCs w:val="22"/>
              </w:rPr>
              <w:t xml:space="preserve"> </w:t>
            </w:r>
          </w:p>
        </w:tc>
        <w:tc>
          <w:tcPr>
            <w:tcW w:w="5374" w:type="dxa"/>
          </w:tcPr>
          <w:p w:rsidR="00691044" w:rsidRPr="00755372" w:rsidRDefault="00691044" w:rsidP="00755372">
            <w:pPr>
              <w:rPr>
                <w:sz w:val="22"/>
                <w:szCs w:val="22"/>
              </w:rPr>
            </w:pPr>
            <w:r w:rsidRPr="00755372">
              <w:rPr>
                <w:sz w:val="22"/>
                <w:szCs w:val="22"/>
              </w:rPr>
              <w:t xml:space="preserve">The term “Project” shall mean the portion of the net </w:t>
            </w:r>
            <w:r w:rsidR="00D25053" w:rsidRPr="00755372">
              <w:rPr>
                <w:sz w:val="22"/>
                <w:szCs w:val="22"/>
              </w:rPr>
              <w:t>energy</w:t>
            </w:r>
            <w:r w:rsidRPr="00755372">
              <w:rPr>
                <w:sz w:val="22"/>
                <w:szCs w:val="22"/>
              </w:rPr>
              <w:t xml:space="preserve"> delivered to the CAISO corresponding to the Contract Quantity of Product delivered to Buyer in accordance with the terms and conditions of this Confirmation from the renewable generation </w:t>
            </w:r>
            <w:r w:rsidR="00DB1B8F" w:rsidRPr="00755372">
              <w:rPr>
                <w:sz w:val="22"/>
                <w:szCs w:val="22"/>
              </w:rPr>
              <w:t xml:space="preserve">facility or </w:t>
            </w:r>
            <w:r w:rsidRPr="00755372">
              <w:rPr>
                <w:sz w:val="22"/>
                <w:szCs w:val="22"/>
              </w:rPr>
              <w:t>facilities specified in Schedule A, including any “pooled facilities” added to Schedule A in accordance with this Confirmation</w:t>
            </w:r>
            <w:r w:rsidR="00477587" w:rsidRPr="00755372">
              <w:rPr>
                <w:sz w:val="22"/>
                <w:szCs w:val="22"/>
              </w:rPr>
              <w:t xml:space="preserve"> (</w:t>
            </w:r>
            <w:r w:rsidR="00570629" w:rsidRPr="00755372">
              <w:rPr>
                <w:sz w:val="22"/>
                <w:szCs w:val="22"/>
              </w:rPr>
              <w:t xml:space="preserve">collectively, </w:t>
            </w:r>
            <w:r w:rsidR="00477587" w:rsidRPr="00755372">
              <w:rPr>
                <w:sz w:val="22"/>
                <w:szCs w:val="22"/>
              </w:rPr>
              <w:t>the “Facilities”)</w:t>
            </w:r>
            <w:r w:rsidRPr="00755372">
              <w:rPr>
                <w:sz w:val="22"/>
                <w:szCs w:val="22"/>
              </w:rPr>
              <w:t xml:space="preserve">, in each case, (a) which has been certified by the California Energy Commission (“CEC”) as an ERR, and (b) which </w:t>
            </w:r>
            <w:r w:rsidRPr="00755372">
              <w:rPr>
                <w:rFonts w:eastAsia="Calibri"/>
                <w:sz w:val="22"/>
                <w:szCs w:val="22"/>
              </w:rPr>
              <w:t>has its first point of interconnection to the WECC transmission grid within the metered boundaries of a California balancing authority area</w:t>
            </w:r>
            <w:r w:rsidRPr="00755372">
              <w:rPr>
                <w:sz w:val="22"/>
                <w:szCs w:val="22"/>
              </w:rPr>
              <w:t xml:space="preserve">.   </w:t>
            </w:r>
          </w:p>
          <w:p w:rsidR="00691044" w:rsidRPr="00755372" w:rsidRDefault="00691044" w:rsidP="00755372">
            <w:pPr>
              <w:rPr>
                <w:sz w:val="22"/>
                <w:szCs w:val="22"/>
              </w:rPr>
            </w:pPr>
          </w:p>
          <w:p w:rsidR="00691044" w:rsidRPr="00755372" w:rsidRDefault="00691044" w:rsidP="00755372">
            <w:pPr>
              <w:rPr>
                <w:sz w:val="22"/>
                <w:szCs w:val="22"/>
              </w:rPr>
            </w:pPr>
            <w:r w:rsidRPr="00755372">
              <w:rPr>
                <w:sz w:val="22"/>
                <w:szCs w:val="22"/>
              </w:rPr>
              <w:t xml:space="preserve">The Parties acknowledge and agree that the Project consists of </w:t>
            </w:r>
            <w:r w:rsidR="00477587" w:rsidRPr="00755372">
              <w:rPr>
                <w:sz w:val="22"/>
                <w:szCs w:val="22"/>
              </w:rPr>
              <w:t>the F</w:t>
            </w:r>
            <w:r w:rsidRPr="00755372">
              <w:rPr>
                <w:sz w:val="22"/>
                <w:szCs w:val="22"/>
              </w:rPr>
              <w:t xml:space="preserve">acilities and that Seller will, in its sole discretion, utilize one or more of the </w:t>
            </w:r>
            <w:r w:rsidR="00477587" w:rsidRPr="00755372">
              <w:rPr>
                <w:sz w:val="22"/>
                <w:szCs w:val="22"/>
              </w:rPr>
              <w:t>F</w:t>
            </w:r>
            <w:r w:rsidRPr="00755372">
              <w:rPr>
                <w:sz w:val="22"/>
                <w:szCs w:val="22"/>
              </w:rPr>
              <w:t xml:space="preserve">acilities in order to satisfy its obligations hereunder.  Following the Effective Date, Seller may add facilities to Schedule A, provided that (a) each facility added is certified by the CEC as an ERR, (b) each facility added is identified in a written notice provided by Seller to Buyer at least one Business Day prior to such addition to Schedule A, and (c) for the purposes of this </w:t>
            </w:r>
            <w:r w:rsidR="00CE4971" w:rsidRPr="00755372">
              <w:rPr>
                <w:sz w:val="22"/>
                <w:szCs w:val="22"/>
              </w:rPr>
              <w:t>T</w:t>
            </w:r>
            <w:r w:rsidRPr="00755372">
              <w:rPr>
                <w:sz w:val="22"/>
                <w:szCs w:val="22"/>
              </w:rPr>
              <w:t>ransaction, Seller shall only deliver Product to Buyer from an additional pooled facility that is generated on a date after the date that the additional facility is added to Schedule A.</w:t>
            </w:r>
          </w:p>
          <w:p w:rsidR="00962D8A" w:rsidRPr="00755372" w:rsidRDefault="00962D8A" w:rsidP="00755372">
            <w:pPr>
              <w:rPr>
                <w:rFonts w:eastAsia="Calibri"/>
                <w:sz w:val="22"/>
                <w:szCs w:val="22"/>
              </w:rPr>
            </w:pPr>
          </w:p>
        </w:tc>
      </w:tr>
      <w:tr w:rsidR="00691044" w:rsidRPr="00F96DE2" w:rsidTr="001E062A">
        <w:tc>
          <w:tcPr>
            <w:tcW w:w="4202" w:type="dxa"/>
          </w:tcPr>
          <w:p w:rsidR="00691044" w:rsidRPr="00755372" w:rsidRDefault="00691044" w:rsidP="00691044">
            <w:pPr>
              <w:rPr>
                <w:rFonts w:eastAsia="Calibri"/>
                <w:b/>
                <w:sz w:val="22"/>
                <w:szCs w:val="22"/>
              </w:rPr>
            </w:pPr>
            <w:r w:rsidRPr="00755372">
              <w:rPr>
                <w:rFonts w:eastAsia="Calibri"/>
                <w:b/>
                <w:sz w:val="22"/>
                <w:szCs w:val="22"/>
              </w:rPr>
              <w:t xml:space="preserve"> Delivery Term</w:t>
            </w:r>
            <w:r w:rsidR="00755372">
              <w:rPr>
                <w:rFonts w:eastAsia="Calibri"/>
                <w:b/>
                <w:sz w:val="22"/>
                <w:szCs w:val="22"/>
              </w:rPr>
              <w:t>:</w:t>
            </w:r>
          </w:p>
          <w:p w:rsidR="00691044" w:rsidRPr="00355F4D" w:rsidRDefault="00691044" w:rsidP="00691044">
            <w:pPr>
              <w:rPr>
                <w:rFonts w:ascii="Arial" w:eastAsia="Calibri" w:hAnsi="Arial" w:cs="Arial"/>
                <w:sz w:val="22"/>
                <w:szCs w:val="22"/>
              </w:rPr>
            </w:pPr>
          </w:p>
        </w:tc>
        <w:tc>
          <w:tcPr>
            <w:tcW w:w="5374" w:type="dxa"/>
          </w:tcPr>
          <w:p w:rsidR="00691044" w:rsidRPr="00755372" w:rsidRDefault="00494968" w:rsidP="00755372">
            <w:pPr>
              <w:rPr>
                <w:rFonts w:eastAsia="Calibri"/>
                <w:sz w:val="22"/>
                <w:szCs w:val="22"/>
              </w:rPr>
            </w:pPr>
            <w:r w:rsidRPr="00755372">
              <w:rPr>
                <w:rFonts w:eastAsia="Calibri"/>
                <w:sz w:val="22"/>
                <w:szCs w:val="22"/>
              </w:rPr>
              <w:t>The “</w:t>
            </w:r>
            <w:r w:rsidR="00355F4D" w:rsidRPr="00755372">
              <w:rPr>
                <w:rFonts w:eastAsia="Calibri"/>
                <w:sz w:val="22"/>
                <w:szCs w:val="22"/>
              </w:rPr>
              <w:t>D</w:t>
            </w:r>
            <w:r w:rsidR="00691044" w:rsidRPr="00755372">
              <w:rPr>
                <w:rFonts w:eastAsia="Calibri"/>
                <w:sz w:val="22"/>
                <w:szCs w:val="22"/>
              </w:rPr>
              <w:t xml:space="preserve">elivery </w:t>
            </w:r>
            <w:r w:rsidR="00355F4D" w:rsidRPr="00755372">
              <w:rPr>
                <w:rFonts w:eastAsia="Calibri"/>
                <w:sz w:val="22"/>
                <w:szCs w:val="22"/>
              </w:rPr>
              <w:t xml:space="preserve">Term” </w:t>
            </w:r>
            <w:r w:rsidR="00691044" w:rsidRPr="00755372">
              <w:rPr>
                <w:rFonts w:eastAsia="Calibri"/>
                <w:sz w:val="22"/>
                <w:szCs w:val="22"/>
              </w:rPr>
              <w:t xml:space="preserve">shall </w:t>
            </w:r>
            <w:r w:rsidR="00506A68">
              <w:rPr>
                <w:rFonts w:eastAsia="Calibri"/>
                <w:sz w:val="22"/>
                <w:szCs w:val="22"/>
              </w:rPr>
              <w:t>commence on [</w:t>
            </w:r>
            <w:r w:rsidR="00506A68">
              <w:rPr>
                <w:rFonts w:eastAsia="Calibri"/>
                <w:i/>
                <w:sz w:val="22"/>
                <w:szCs w:val="22"/>
              </w:rPr>
              <w:t xml:space="preserve">insert </w:t>
            </w:r>
            <w:r w:rsidR="00506A68" w:rsidRPr="00506A68">
              <w:rPr>
                <w:rFonts w:eastAsia="Calibri"/>
                <w:i/>
                <w:sz w:val="22"/>
                <w:szCs w:val="22"/>
              </w:rPr>
              <w:t>date</w:t>
            </w:r>
            <w:r w:rsidR="00506A68">
              <w:rPr>
                <w:rFonts w:eastAsia="Calibri"/>
                <w:sz w:val="22"/>
                <w:szCs w:val="22"/>
              </w:rPr>
              <w:t xml:space="preserve">] </w:t>
            </w:r>
            <w:r w:rsidR="00691044" w:rsidRPr="00755372">
              <w:rPr>
                <w:rFonts w:eastAsia="Calibri"/>
                <w:sz w:val="22"/>
                <w:szCs w:val="22"/>
              </w:rPr>
              <w:t xml:space="preserve">through the earlier of (a) </w:t>
            </w:r>
            <w:r w:rsidR="00962D8A" w:rsidRPr="00755372">
              <w:rPr>
                <w:rFonts w:eastAsia="Calibri"/>
                <w:sz w:val="22"/>
                <w:szCs w:val="22"/>
              </w:rPr>
              <w:t>[</w:t>
            </w:r>
            <w:r w:rsidR="00506A68">
              <w:rPr>
                <w:rFonts w:eastAsia="Calibri"/>
                <w:i/>
                <w:sz w:val="22"/>
                <w:szCs w:val="22"/>
              </w:rPr>
              <w:t>insert date</w:t>
            </w:r>
            <w:r w:rsidR="00962D8A" w:rsidRPr="00755372">
              <w:rPr>
                <w:rFonts w:eastAsia="Calibri"/>
                <w:sz w:val="22"/>
                <w:szCs w:val="22"/>
              </w:rPr>
              <w:t>]</w:t>
            </w:r>
            <w:r w:rsidR="006B283F" w:rsidRPr="00755372">
              <w:rPr>
                <w:rFonts w:eastAsia="Calibri"/>
                <w:sz w:val="22"/>
                <w:szCs w:val="22"/>
              </w:rPr>
              <w:t xml:space="preserve"> </w:t>
            </w:r>
            <w:r w:rsidR="00691044" w:rsidRPr="00755372">
              <w:rPr>
                <w:rFonts w:eastAsia="Calibri"/>
                <w:sz w:val="22"/>
                <w:szCs w:val="22"/>
              </w:rPr>
              <w:t xml:space="preserve">or (b) the date on which Seller has completed delivery of the maximum Contract Quantity of Product to Buyer </w:t>
            </w:r>
            <w:r w:rsidR="00506A68">
              <w:rPr>
                <w:rFonts w:eastAsia="Calibri"/>
                <w:sz w:val="22"/>
                <w:szCs w:val="22"/>
              </w:rPr>
              <w:t>pursuant to this Confirmation.  No</w:t>
            </w:r>
            <w:r w:rsidR="00691044" w:rsidRPr="00755372">
              <w:rPr>
                <w:rFonts w:eastAsia="Calibri"/>
                <w:sz w:val="22"/>
                <w:szCs w:val="22"/>
              </w:rPr>
              <w:t xml:space="preserve">twithstanding the foregoing, RECs shall be delivered in accordance with </w:t>
            </w:r>
            <w:r w:rsidR="00355F4D" w:rsidRPr="00755372">
              <w:rPr>
                <w:rFonts w:eastAsia="Calibri"/>
                <w:sz w:val="22"/>
                <w:szCs w:val="22"/>
              </w:rPr>
              <w:t>the</w:t>
            </w:r>
            <w:r w:rsidR="00691044" w:rsidRPr="00755372">
              <w:rPr>
                <w:rFonts w:eastAsia="Calibri"/>
                <w:sz w:val="22"/>
                <w:szCs w:val="22"/>
              </w:rPr>
              <w:t xml:space="preserve"> </w:t>
            </w:r>
            <w:r w:rsidR="00355F4D" w:rsidRPr="00755372">
              <w:rPr>
                <w:rFonts w:eastAsia="Calibri"/>
                <w:sz w:val="22"/>
                <w:szCs w:val="22"/>
              </w:rPr>
              <w:t>“</w:t>
            </w:r>
            <w:r w:rsidR="00691044" w:rsidRPr="00755372">
              <w:rPr>
                <w:rFonts w:eastAsia="Calibri"/>
                <w:sz w:val="22"/>
                <w:szCs w:val="22"/>
              </w:rPr>
              <w:t>RPS Category 1 Delivery Obligations</w:t>
            </w:r>
            <w:r w:rsidR="00355F4D" w:rsidRPr="00755372">
              <w:rPr>
                <w:rFonts w:eastAsia="Calibri"/>
                <w:sz w:val="22"/>
                <w:szCs w:val="22"/>
              </w:rPr>
              <w:t>”</w:t>
            </w:r>
            <w:r w:rsidR="00691044" w:rsidRPr="00755372">
              <w:rPr>
                <w:rFonts w:eastAsia="Calibri"/>
                <w:sz w:val="22"/>
                <w:szCs w:val="22"/>
              </w:rPr>
              <w:t xml:space="preserve"> </w:t>
            </w:r>
            <w:r w:rsidR="00355F4D" w:rsidRPr="00755372">
              <w:rPr>
                <w:rFonts w:eastAsia="Calibri"/>
                <w:sz w:val="22"/>
                <w:szCs w:val="22"/>
              </w:rPr>
              <w:t xml:space="preserve">section </w:t>
            </w:r>
            <w:r w:rsidR="00691044" w:rsidRPr="00755372">
              <w:rPr>
                <w:rFonts w:eastAsia="Calibri"/>
                <w:sz w:val="22"/>
                <w:szCs w:val="22"/>
              </w:rPr>
              <w:t>below.</w:t>
            </w:r>
          </w:p>
          <w:p w:rsidR="00DD60D6" w:rsidRPr="00755372" w:rsidRDefault="00DD60D6" w:rsidP="00755372">
            <w:pPr>
              <w:rPr>
                <w:rFonts w:eastAsia="Calibri"/>
                <w:sz w:val="22"/>
                <w:szCs w:val="22"/>
              </w:rPr>
            </w:pPr>
          </w:p>
        </w:tc>
      </w:tr>
      <w:tr w:rsidR="00691044" w:rsidRPr="00F96DE2" w:rsidTr="001E062A">
        <w:tc>
          <w:tcPr>
            <w:tcW w:w="4202" w:type="dxa"/>
          </w:tcPr>
          <w:p w:rsidR="00691044" w:rsidRPr="000948F7" w:rsidRDefault="00691044" w:rsidP="00691044">
            <w:pPr>
              <w:rPr>
                <w:rFonts w:eastAsia="Calibri"/>
                <w:b/>
                <w:sz w:val="22"/>
                <w:szCs w:val="22"/>
              </w:rPr>
            </w:pPr>
            <w:r w:rsidRPr="000948F7">
              <w:rPr>
                <w:rFonts w:eastAsia="Calibri"/>
                <w:b/>
                <w:sz w:val="22"/>
                <w:szCs w:val="22"/>
              </w:rPr>
              <w:t>Contract Quantity</w:t>
            </w:r>
            <w:r w:rsidR="000948F7">
              <w:rPr>
                <w:rFonts w:eastAsia="Calibri"/>
                <w:b/>
                <w:sz w:val="22"/>
                <w:szCs w:val="22"/>
              </w:rPr>
              <w:t>:</w:t>
            </w:r>
          </w:p>
        </w:tc>
        <w:tc>
          <w:tcPr>
            <w:tcW w:w="5374" w:type="dxa"/>
          </w:tcPr>
          <w:p w:rsidR="00691044" w:rsidRPr="00755372" w:rsidRDefault="00355F4D" w:rsidP="00755372">
            <w:pPr>
              <w:rPr>
                <w:rFonts w:eastAsia="Calibri"/>
                <w:sz w:val="22"/>
                <w:szCs w:val="22"/>
              </w:rPr>
            </w:pPr>
            <w:r w:rsidRPr="00755372">
              <w:rPr>
                <w:rFonts w:eastAsia="Calibri"/>
                <w:sz w:val="22"/>
                <w:szCs w:val="22"/>
              </w:rPr>
              <w:t>S</w:t>
            </w:r>
            <w:r w:rsidR="00691044" w:rsidRPr="00755372">
              <w:rPr>
                <w:rFonts w:eastAsia="Calibri"/>
                <w:sz w:val="22"/>
                <w:szCs w:val="22"/>
              </w:rPr>
              <w:t xml:space="preserve">ubject to the Delivery Periods for each </w:t>
            </w:r>
            <w:r w:rsidR="00506A68">
              <w:rPr>
                <w:rFonts w:eastAsia="Calibri"/>
                <w:sz w:val="22"/>
                <w:szCs w:val="22"/>
              </w:rPr>
              <w:t>Facility</w:t>
            </w:r>
            <w:r w:rsidR="00562ED9" w:rsidRPr="00755372">
              <w:rPr>
                <w:rFonts w:eastAsia="Calibri"/>
                <w:sz w:val="22"/>
                <w:szCs w:val="22"/>
              </w:rPr>
              <w:t xml:space="preserve"> set forth in Schedule</w:t>
            </w:r>
            <w:r w:rsidR="00C0114F" w:rsidRPr="00755372">
              <w:rPr>
                <w:rFonts w:eastAsia="Calibri"/>
                <w:sz w:val="22"/>
                <w:szCs w:val="22"/>
              </w:rPr>
              <w:t xml:space="preserve"> A</w:t>
            </w:r>
            <w:r w:rsidR="00691044" w:rsidRPr="00755372">
              <w:rPr>
                <w:rFonts w:eastAsia="Calibri"/>
                <w:sz w:val="22"/>
                <w:szCs w:val="22"/>
              </w:rPr>
              <w:t xml:space="preserve">, </w:t>
            </w:r>
            <w:r w:rsidRPr="00755372">
              <w:rPr>
                <w:rFonts w:eastAsia="Calibri"/>
                <w:sz w:val="22"/>
                <w:szCs w:val="22"/>
              </w:rPr>
              <w:t xml:space="preserve">“Contract </w:t>
            </w:r>
            <w:r w:rsidR="00C0114F" w:rsidRPr="00755372">
              <w:rPr>
                <w:rFonts w:eastAsia="Calibri"/>
                <w:sz w:val="22"/>
                <w:szCs w:val="22"/>
              </w:rPr>
              <w:t>Q</w:t>
            </w:r>
            <w:r w:rsidRPr="00755372">
              <w:rPr>
                <w:rFonts w:eastAsia="Calibri"/>
                <w:sz w:val="22"/>
                <w:szCs w:val="22"/>
              </w:rPr>
              <w:t xml:space="preserve">uantity” shall be </w:t>
            </w:r>
            <w:r w:rsidR="00163792" w:rsidRPr="00755372">
              <w:rPr>
                <w:rFonts w:eastAsia="Calibri"/>
                <w:sz w:val="22"/>
                <w:szCs w:val="22"/>
              </w:rPr>
              <w:t>[_______]</w:t>
            </w:r>
            <w:r w:rsidR="006723DB" w:rsidRPr="00755372">
              <w:rPr>
                <w:rFonts w:eastAsia="Calibri"/>
                <w:sz w:val="22"/>
                <w:szCs w:val="22"/>
              </w:rPr>
              <w:t xml:space="preserve"> </w:t>
            </w:r>
            <w:r w:rsidR="00691044" w:rsidRPr="00755372">
              <w:rPr>
                <w:rFonts w:eastAsia="Calibri"/>
                <w:sz w:val="22"/>
                <w:szCs w:val="22"/>
              </w:rPr>
              <w:t>MWh of Product.</w:t>
            </w:r>
          </w:p>
          <w:p w:rsidR="00DD60D6" w:rsidRPr="00755372" w:rsidRDefault="00DD60D6" w:rsidP="00755372">
            <w:pPr>
              <w:rPr>
                <w:rFonts w:eastAsia="Calibri"/>
                <w:sz w:val="22"/>
                <w:szCs w:val="22"/>
              </w:rPr>
            </w:pPr>
          </w:p>
        </w:tc>
      </w:tr>
      <w:tr w:rsidR="00691044" w:rsidRPr="00F96DE2" w:rsidTr="001E062A">
        <w:trPr>
          <w:trHeight w:val="512"/>
        </w:trPr>
        <w:tc>
          <w:tcPr>
            <w:tcW w:w="4202" w:type="dxa"/>
          </w:tcPr>
          <w:p w:rsidR="00691044" w:rsidRPr="000948F7" w:rsidRDefault="00691044" w:rsidP="00691044">
            <w:pPr>
              <w:rPr>
                <w:rFonts w:eastAsia="Calibri"/>
                <w:b/>
                <w:sz w:val="22"/>
                <w:szCs w:val="22"/>
              </w:rPr>
            </w:pPr>
            <w:r w:rsidRPr="000948F7">
              <w:rPr>
                <w:rFonts w:eastAsia="Calibri"/>
                <w:b/>
                <w:sz w:val="22"/>
                <w:szCs w:val="22"/>
              </w:rPr>
              <w:t>Delivery Point(s)</w:t>
            </w:r>
            <w:r w:rsidR="000948F7">
              <w:rPr>
                <w:rFonts w:eastAsia="Calibri"/>
                <w:b/>
                <w:sz w:val="22"/>
                <w:szCs w:val="22"/>
              </w:rPr>
              <w:t>:</w:t>
            </w:r>
          </w:p>
        </w:tc>
        <w:tc>
          <w:tcPr>
            <w:tcW w:w="5374" w:type="dxa"/>
          </w:tcPr>
          <w:p w:rsidR="00691044" w:rsidRPr="00755372" w:rsidRDefault="00506A68" w:rsidP="00755372">
            <w:pPr>
              <w:rPr>
                <w:rFonts w:eastAsia="Calibri"/>
                <w:sz w:val="22"/>
                <w:szCs w:val="22"/>
              </w:rPr>
            </w:pPr>
            <w:r>
              <w:rPr>
                <w:rFonts w:eastAsia="Calibri"/>
                <w:sz w:val="22"/>
                <w:szCs w:val="22"/>
              </w:rPr>
              <w:t xml:space="preserve">As </w:t>
            </w:r>
            <w:r w:rsidR="00691044" w:rsidRPr="00755372">
              <w:rPr>
                <w:rFonts w:eastAsia="Calibri"/>
                <w:sz w:val="22"/>
                <w:szCs w:val="22"/>
              </w:rPr>
              <w:t>specified in Schedule A.</w:t>
            </w:r>
          </w:p>
          <w:p w:rsidR="00691044" w:rsidRPr="00755372" w:rsidRDefault="00691044" w:rsidP="00755372">
            <w:pPr>
              <w:rPr>
                <w:rFonts w:eastAsia="Calibri"/>
                <w:sz w:val="22"/>
                <w:szCs w:val="22"/>
              </w:rPr>
            </w:pPr>
          </w:p>
        </w:tc>
      </w:tr>
      <w:tr w:rsidR="00D25053" w:rsidRPr="00F96DE2" w:rsidTr="001E062A">
        <w:trPr>
          <w:trHeight w:val="512"/>
        </w:trPr>
        <w:tc>
          <w:tcPr>
            <w:tcW w:w="4202" w:type="dxa"/>
          </w:tcPr>
          <w:p w:rsidR="00D25053" w:rsidRPr="000948F7" w:rsidRDefault="00D25053" w:rsidP="00691044">
            <w:pPr>
              <w:rPr>
                <w:rFonts w:eastAsia="Calibri"/>
                <w:b/>
                <w:sz w:val="22"/>
                <w:szCs w:val="22"/>
              </w:rPr>
            </w:pPr>
            <w:r w:rsidRPr="000948F7">
              <w:rPr>
                <w:rFonts w:eastAsia="Calibri"/>
                <w:b/>
                <w:sz w:val="22"/>
                <w:szCs w:val="22"/>
              </w:rPr>
              <w:t>Scheduling and Tagging</w:t>
            </w:r>
            <w:r w:rsidR="000948F7">
              <w:rPr>
                <w:rFonts w:eastAsia="Calibri"/>
                <w:b/>
                <w:sz w:val="22"/>
                <w:szCs w:val="22"/>
              </w:rPr>
              <w:t>:</w:t>
            </w:r>
          </w:p>
        </w:tc>
        <w:tc>
          <w:tcPr>
            <w:tcW w:w="5374" w:type="dxa"/>
          </w:tcPr>
          <w:p w:rsidR="00506A68" w:rsidRDefault="00506A68" w:rsidP="00506A68">
            <w:pPr>
              <w:spacing w:after="120"/>
            </w:pPr>
            <w:r>
              <w:t xml:space="preserve">For each hour of each day in the Delivery Term, Seller and Buyer or Buyer’s designee shall schedule the Hourly Amount of Electric Energy as an IST-APN in the Integrated Forward Market (“IFM”) at the Delivery Point on a day-ahead basis in accordance with the Tariff.  </w:t>
            </w:r>
            <w:r w:rsidRPr="00AB00B5">
              <w:t>By 1700 on each day prior to the scheduling day(s) consistent with the WECC Preschedule Calendar, Seller shall notify Buyer of the Hourly Amounts</w:t>
            </w:r>
            <w:r>
              <w:t xml:space="preserve"> by email</w:t>
            </w:r>
            <w:r w:rsidRPr="00AB00B5">
              <w:t>.</w:t>
            </w:r>
          </w:p>
          <w:p w:rsidR="00D25053" w:rsidRDefault="00506A68" w:rsidP="00506A68">
            <w:r>
              <w:t xml:space="preserve">In the event that the IST-APN fails in any hour of the IFM, the Parties agree that a subsequent IST-APN at the Delivery Point for the Hourly Amount shall be rescheduled for that failed hour in the Real-Time Market pursuant to the Tariff.  </w:t>
            </w:r>
          </w:p>
          <w:p w:rsidR="00506A68" w:rsidRPr="00755372" w:rsidRDefault="00506A68" w:rsidP="00506A68">
            <w:pPr>
              <w:rPr>
                <w:rFonts w:eastAsia="Calibri"/>
                <w:sz w:val="22"/>
                <w:szCs w:val="22"/>
              </w:rPr>
            </w:pPr>
          </w:p>
          <w:p w:rsidR="006E5C8C" w:rsidRPr="00755372" w:rsidRDefault="00D25053" w:rsidP="00755372">
            <w:pPr>
              <w:rPr>
                <w:rFonts w:eastAsia="Calibri"/>
                <w:sz w:val="22"/>
                <w:szCs w:val="22"/>
              </w:rPr>
            </w:pPr>
            <w:r w:rsidRPr="00755372">
              <w:rPr>
                <w:rFonts w:eastAsia="Calibri"/>
                <w:sz w:val="22"/>
                <w:szCs w:val="22"/>
              </w:rPr>
              <w:t>Seller shall generate all e-Tags required to schedule the energy to and from the Delivery Point.  Seller shall match RECs with e-Tags before transferring the RECs to Buyer.</w:t>
            </w:r>
            <w:r w:rsidR="006E5C8C" w:rsidRPr="00755372">
              <w:rPr>
                <w:rFonts w:eastAsia="Calibri"/>
                <w:sz w:val="22"/>
                <w:szCs w:val="22"/>
              </w:rPr>
              <w:t xml:space="preserve">  Each e-Tag shall show the CAISO Balancing Authority as the last CA (Control Area) under ‘Physical Path’.  Seller will be the Party delivering energy to the CAISO.</w:t>
            </w:r>
          </w:p>
          <w:p w:rsidR="00D25053" w:rsidRPr="00755372" w:rsidRDefault="00D25053" w:rsidP="00755372">
            <w:pPr>
              <w:rPr>
                <w:rFonts w:eastAsia="Calibri"/>
                <w:sz w:val="22"/>
                <w:szCs w:val="22"/>
              </w:rPr>
            </w:pPr>
          </w:p>
        </w:tc>
      </w:tr>
      <w:tr w:rsidR="00691044" w:rsidRPr="00F96DE2" w:rsidTr="001E062A">
        <w:tc>
          <w:tcPr>
            <w:tcW w:w="4202" w:type="dxa"/>
          </w:tcPr>
          <w:p w:rsidR="00691044" w:rsidRPr="000948F7" w:rsidRDefault="00691044" w:rsidP="00691044">
            <w:pPr>
              <w:rPr>
                <w:rFonts w:eastAsia="Calibri"/>
                <w:b/>
                <w:sz w:val="22"/>
                <w:szCs w:val="22"/>
              </w:rPr>
            </w:pPr>
            <w:r w:rsidRPr="000948F7">
              <w:rPr>
                <w:rFonts w:eastAsia="Calibri"/>
                <w:b/>
                <w:sz w:val="22"/>
                <w:szCs w:val="22"/>
              </w:rPr>
              <w:t>Contract Price</w:t>
            </w:r>
            <w:r w:rsidR="000948F7">
              <w:rPr>
                <w:rFonts w:eastAsia="Calibri"/>
                <w:b/>
                <w:sz w:val="22"/>
                <w:szCs w:val="22"/>
              </w:rPr>
              <w:t>:</w:t>
            </w:r>
          </w:p>
        </w:tc>
        <w:tc>
          <w:tcPr>
            <w:tcW w:w="5374" w:type="dxa"/>
          </w:tcPr>
          <w:p w:rsidR="00691044" w:rsidRPr="00755372" w:rsidRDefault="00691044" w:rsidP="00755372">
            <w:pPr>
              <w:rPr>
                <w:rFonts w:eastAsia="Calibri"/>
                <w:sz w:val="22"/>
                <w:szCs w:val="22"/>
              </w:rPr>
            </w:pPr>
            <w:r w:rsidRPr="00755372">
              <w:rPr>
                <w:rFonts w:eastAsia="Calibri"/>
                <w:sz w:val="22"/>
                <w:szCs w:val="22"/>
              </w:rPr>
              <w:t>The “Contract Price” for each MWh of Product delivered to Buyer shall consist of the Energy Price plus the RPS Category 1 Energy Premium</w:t>
            </w:r>
            <w:r w:rsidR="00DD60D6" w:rsidRPr="00755372">
              <w:rPr>
                <w:rFonts w:eastAsia="Calibri"/>
                <w:sz w:val="22"/>
                <w:szCs w:val="22"/>
              </w:rPr>
              <w:t>.</w:t>
            </w:r>
            <w:r w:rsidRPr="00755372">
              <w:rPr>
                <w:rFonts w:eastAsia="Calibri"/>
                <w:sz w:val="22"/>
                <w:szCs w:val="22"/>
              </w:rPr>
              <w:t xml:space="preserve">  </w:t>
            </w:r>
          </w:p>
          <w:p w:rsidR="00691044" w:rsidRPr="00755372" w:rsidRDefault="00691044" w:rsidP="00755372">
            <w:pPr>
              <w:rPr>
                <w:rFonts w:eastAsia="Calibri"/>
                <w:sz w:val="22"/>
                <w:szCs w:val="22"/>
              </w:rPr>
            </w:pPr>
          </w:p>
        </w:tc>
      </w:tr>
      <w:tr w:rsidR="00691044" w:rsidRPr="00F96DE2" w:rsidTr="001E062A">
        <w:tc>
          <w:tcPr>
            <w:tcW w:w="4202" w:type="dxa"/>
          </w:tcPr>
          <w:p w:rsidR="00691044" w:rsidRPr="000948F7" w:rsidRDefault="00691044" w:rsidP="00691044">
            <w:pPr>
              <w:rPr>
                <w:rFonts w:eastAsia="Calibri"/>
                <w:b/>
                <w:sz w:val="22"/>
                <w:szCs w:val="22"/>
              </w:rPr>
            </w:pPr>
            <w:r w:rsidRPr="000948F7">
              <w:rPr>
                <w:rFonts w:eastAsia="Calibri"/>
                <w:b/>
                <w:sz w:val="22"/>
                <w:szCs w:val="22"/>
              </w:rPr>
              <w:t>Energy Price</w:t>
            </w:r>
            <w:r w:rsidR="000948F7">
              <w:rPr>
                <w:rFonts w:eastAsia="Calibri"/>
                <w:b/>
                <w:sz w:val="22"/>
                <w:szCs w:val="22"/>
              </w:rPr>
              <w:t>:</w:t>
            </w:r>
          </w:p>
        </w:tc>
        <w:tc>
          <w:tcPr>
            <w:tcW w:w="5374" w:type="dxa"/>
          </w:tcPr>
          <w:p w:rsidR="00691044" w:rsidRPr="000451C7" w:rsidRDefault="00C0114F" w:rsidP="00755372">
            <w:pPr>
              <w:rPr>
                <w:rFonts w:eastAsia="Calibri"/>
                <w:sz w:val="22"/>
                <w:szCs w:val="22"/>
              </w:rPr>
            </w:pPr>
            <w:r w:rsidRPr="000451C7">
              <w:rPr>
                <w:rFonts w:eastAsia="Calibri"/>
                <w:sz w:val="22"/>
                <w:szCs w:val="22"/>
              </w:rPr>
              <w:t xml:space="preserve">The “Energy Price” </w:t>
            </w:r>
            <w:r w:rsidR="00BB46D5" w:rsidRPr="000451C7">
              <w:rPr>
                <w:rFonts w:eastAsia="Calibri"/>
                <w:sz w:val="22"/>
                <w:szCs w:val="22"/>
              </w:rPr>
              <w:t xml:space="preserve">means </w:t>
            </w:r>
            <w:r w:rsidR="001E062A" w:rsidRPr="000451C7">
              <w:rPr>
                <w:rFonts w:eastAsia="Calibri"/>
                <w:b/>
                <w:sz w:val="22"/>
                <w:szCs w:val="22"/>
              </w:rPr>
              <w:t>[$X.XX]</w:t>
            </w:r>
            <w:r w:rsidR="001E062A" w:rsidRPr="000451C7">
              <w:rPr>
                <w:rFonts w:eastAsia="Calibri"/>
                <w:sz w:val="22"/>
                <w:szCs w:val="22"/>
              </w:rPr>
              <w:t xml:space="preserve"> </w:t>
            </w:r>
            <w:r w:rsidR="00D62EA1" w:rsidRPr="000451C7">
              <w:rPr>
                <w:rFonts w:eastAsia="Batang"/>
                <w:color w:val="000000"/>
                <w:sz w:val="22"/>
                <w:szCs w:val="22"/>
                <w:lang w:eastAsia="ko-KR"/>
              </w:rPr>
              <w:t>for each MWh of Energy delivered to the Delivery Point</w:t>
            </w:r>
            <w:r w:rsidR="00691044" w:rsidRPr="000451C7">
              <w:rPr>
                <w:rFonts w:eastAsia="Calibri"/>
                <w:sz w:val="22"/>
                <w:szCs w:val="22"/>
              </w:rPr>
              <w:t>.</w:t>
            </w:r>
          </w:p>
          <w:p w:rsidR="00DD60D6" w:rsidRPr="00755372" w:rsidRDefault="00DD60D6" w:rsidP="00755372">
            <w:pPr>
              <w:rPr>
                <w:rFonts w:eastAsia="Calibri"/>
                <w:sz w:val="22"/>
                <w:szCs w:val="22"/>
              </w:rPr>
            </w:pPr>
          </w:p>
        </w:tc>
      </w:tr>
      <w:tr w:rsidR="00691044" w:rsidRPr="00F96DE2" w:rsidTr="001E062A">
        <w:tc>
          <w:tcPr>
            <w:tcW w:w="4202" w:type="dxa"/>
          </w:tcPr>
          <w:p w:rsidR="00691044" w:rsidRPr="000948F7" w:rsidRDefault="00691044" w:rsidP="00691044">
            <w:pPr>
              <w:spacing w:after="200" w:line="276" w:lineRule="auto"/>
              <w:rPr>
                <w:rFonts w:eastAsia="Calibri"/>
                <w:b/>
                <w:sz w:val="22"/>
                <w:szCs w:val="22"/>
              </w:rPr>
            </w:pPr>
            <w:r w:rsidRPr="000948F7">
              <w:rPr>
                <w:rFonts w:eastAsia="Calibri"/>
                <w:b/>
                <w:sz w:val="22"/>
                <w:szCs w:val="22"/>
              </w:rPr>
              <w:t>RPS Category 1 Energy Premium</w:t>
            </w:r>
            <w:r w:rsidR="000948F7">
              <w:rPr>
                <w:rFonts w:eastAsia="Calibri"/>
                <w:b/>
                <w:sz w:val="22"/>
                <w:szCs w:val="22"/>
              </w:rPr>
              <w:t>:</w:t>
            </w:r>
          </w:p>
        </w:tc>
        <w:tc>
          <w:tcPr>
            <w:tcW w:w="5374" w:type="dxa"/>
          </w:tcPr>
          <w:p w:rsidR="00691044" w:rsidRPr="00755372" w:rsidRDefault="00C0114F" w:rsidP="00755372">
            <w:pPr>
              <w:rPr>
                <w:rFonts w:eastAsia="Calibri"/>
                <w:sz w:val="22"/>
                <w:szCs w:val="22"/>
              </w:rPr>
            </w:pPr>
            <w:r w:rsidRPr="00755372">
              <w:rPr>
                <w:rFonts w:eastAsia="Calibri"/>
                <w:sz w:val="22"/>
                <w:szCs w:val="22"/>
              </w:rPr>
              <w:t xml:space="preserve">The “RPS Category 1 Energy Premium” shall mean </w:t>
            </w:r>
            <w:r w:rsidRPr="001E062A">
              <w:rPr>
                <w:rFonts w:eastAsia="Calibri"/>
                <w:b/>
                <w:sz w:val="22"/>
                <w:szCs w:val="22"/>
              </w:rPr>
              <w:t>[</w:t>
            </w:r>
            <w:r w:rsidR="000507E3" w:rsidRPr="001E062A">
              <w:rPr>
                <w:rFonts w:eastAsia="Calibri"/>
                <w:b/>
                <w:sz w:val="22"/>
                <w:szCs w:val="22"/>
              </w:rPr>
              <w:t>$</w:t>
            </w:r>
            <w:r w:rsidR="00BB46D5" w:rsidRPr="001E062A">
              <w:rPr>
                <w:rFonts w:eastAsia="Calibri"/>
                <w:b/>
                <w:sz w:val="22"/>
                <w:szCs w:val="22"/>
              </w:rPr>
              <w:t>X.XX</w:t>
            </w:r>
            <w:r w:rsidRPr="001E062A">
              <w:rPr>
                <w:rFonts w:eastAsia="Calibri"/>
                <w:b/>
                <w:sz w:val="22"/>
                <w:szCs w:val="22"/>
              </w:rPr>
              <w:t>]</w:t>
            </w:r>
            <w:r w:rsidR="006723DB" w:rsidRPr="00755372">
              <w:rPr>
                <w:rFonts w:eastAsia="Calibri"/>
                <w:sz w:val="22"/>
                <w:szCs w:val="22"/>
              </w:rPr>
              <w:t xml:space="preserve"> </w:t>
            </w:r>
            <w:r w:rsidR="00691044" w:rsidRPr="00755372">
              <w:rPr>
                <w:rFonts w:eastAsia="Calibri"/>
                <w:sz w:val="22"/>
                <w:szCs w:val="22"/>
              </w:rPr>
              <w:t>per REC</w:t>
            </w:r>
          </w:p>
          <w:p w:rsidR="00691044" w:rsidRPr="00755372" w:rsidRDefault="00691044" w:rsidP="00755372">
            <w:pPr>
              <w:rPr>
                <w:rFonts w:eastAsia="Calibri"/>
                <w:sz w:val="22"/>
                <w:szCs w:val="22"/>
              </w:rPr>
            </w:pPr>
          </w:p>
        </w:tc>
      </w:tr>
      <w:tr w:rsidR="00691044" w:rsidRPr="00F96DE2" w:rsidTr="001E062A">
        <w:tc>
          <w:tcPr>
            <w:tcW w:w="4202" w:type="dxa"/>
          </w:tcPr>
          <w:p w:rsidR="00691044" w:rsidRPr="000948F7" w:rsidRDefault="00691044" w:rsidP="00691044">
            <w:pPr>
              <w:spacing w:after="200" w:line="276" w:lineRule="auto"/>
              <w:rPr>
                <w:rFonts w:eastAsia="Calibri"/>
                <w:b/>
                <w:sz w:val="22"/>
                <w:szCs w:val="22"/>
              </w:rPr>
            </w:pPr>
            <w:r w:rsidRPr="000948F7">
              <w:rPr>
                <w:rFonts w:eastAsia="Calibri"/>
                <w:b/>
                <w:sz w:val="22"/>
                <w:szCs w:val="22"/>
              </w:rPr>
              <w:t>Settlement and Payment of Energy Price</w:t>
            </w:r>
            <w:r w:rsidR="000948F7">
              <w:rPr>
                <w:rFonts w:eastAsia="Calibri"/>
                <w:b/>
                <w:sz w:val="22"/>
                <w:szCs w:val="22"/>
              </w:rPr>
              <w:t>:</w:t>
            </w:r>
          </w:p>
        </w:tc>
        <w:tc>
          <w:tcPr>
            <w:tcW w:w="5374" w:type="dxa"/>
          </w:tcPr>
          <w:p w:rsidR="00691044" w:rsidRPr="00755372" w:rsidRDefault="00691044" w:rsidP="00755372">
            <w:pPr>
              <w:rPr>
                <w:rFonts w:eastAsia="Calibri"/>
                <w:sz w:val="22"/>
                <w:szCs w:val="22"/>
              </w:rPr>
            </w:pPr>
            <w:r w:rsidRPr="00755372">
              <w:rPr>
                <w:rFonts w:eastAsia="Calibri"/>
                <w:sz w:val="22"/>
                <w:szCs w:val="22"/>
              </w:rPr>
              <w:t>Seller shall invoice Buyer for the energy portion of the Product on a monthly basis as follows:</w:t>
            </w:r>
          </w:p>
          <w:p w:rsidR="00691044" w:rsidRPr="00755372" w:rsidRDefault="00691044" w:rsidP="00755372">
            <w:pPr>
              <w:rPr>
                <w:rFonts w:eastAsia="Calibri"/>
                <w:sz w:val="22"/>
                <w:szCs w:val="22"/>
              </w:rPr>
            </w:pPr>
          </w:p>
          <w:p w:rsidR="00477587" w:rsidRPr="00755372" w:rsidRDefault="00691044" w:rsidP="001E062A">
            <w:pPr>
              <w:ind w:left="342" w:right="540"/>
              <w:rPr>
                <w:rFonts w:eastAsia="Calibri"/>
                <w:sz w:val="22"/>
                <w:szCs w:val="22"/>
              </w:rPr>
            </w:pPr>
            <w:r w:rsidRPr="00755372">
              <w:rPr>
                <w:rFonts w:eastAsia="Calibri"/>
                <w:sz w:val="22"/>
                <w:szCs w:val="22"/>
              </w:rPr>
              <w:t>Energy Price multiplied by the quantity of energy delivered to Buyer in each hour of the invoiced month.</w:t>
            </w:r>
          </w:p>
          <w:p w:rsidR="00691044" w:rsidRDefault="00691044" w:rsidP="00755372">
            <w:pPr>
              <w:rPr>
                <w:rFonts w:eastAsia="Calibri"/>
                <w:sz w:val="22"/>
                <w:szCs w:val="22"/>
              </w:rPr>
            </w:pPr>
          </w:p>
          <w:p w:rsidR="003909AF" w:rsidRDefault="003909AF" w:rsidP="00755372">
            <w:pPr>
              <w:rPr>
                <w:sz w:val="22"/>
                <w:szCs w:val="22"/>
              </w:rPr>
            </w:pPr>
            <w:r w:rsidRPr="00B40620">
              <w:rPr>
                <w:sz w:val="22"/>
                <w:szCs w:val="22"/>
              </w:rPr>
              <w:t>Invoicing and payment for Energy delivered to Buyer shall be in accordance with Article 6 of the Master Agreement and Buyer shall pay such invoices in accordance with the Master Agreement and this Confirmation</w:t>
            </w:r>
            <w:r>
              <w:rPr>
                <w:sz w:val="22"/>
                <w:szCs w:val="22"/>
              </w:rPr>
              <w:t>.</w:t>
            </w:r>
          </w:p>
          <w:p w:rsidR="002753E9" w:rsidRPr="00755372" w:rsidRDefault="002753E9" w:rsidP="00755372">
            <w:pPr>
              <w:rPr>
                <w:rFonts w:eastAsia="Calibri"/>
                <w:sz w:val="22"/>
                <w:szCs w:val="22"/>
              </w:rPr>
            </w:pPr>
          </w:p>
        </w:tc>
      </w:tr>
      <w:tr w:rsidR="00691044" w:rsidRPr="00F96DE2" w:rsidTr="001E062A">
        <w:tc>
          <w:tcPr>
            <w:tcW w:w="4202" w:type="dxa"/>
          </w:tcPr>
          <w:p w:rsidR="00691044" w:rsidRPr="000948F7" w:rsidRDefault="00691044" w:rsidP="00691044">
            <w:pPr>
              <w:spacing w:after="200" w:line="276" w:lineRule="auto"/>
              <w:rPr>
                <w:rFonts w:eastAsia="Calibri"/>
                <w:b/>
                <w:sz w:val="22"/>
                <w:szCs w:val="22"/>
              </w:rPr>
            </w:pPr>
            <w:r w:rsidRPr="000948F7">
              <w:rPr>
                <w:rFonts w:eastAsia="Calibri"/>
                <w:b/>
                <w:sz w:val="22"/>
                <w:szCs w:val="22"/>
              </w:rPr>
              <w:t>Settlement and Payment of RPS Category 1 Premium</w:t>
            </w:r>
            <w:r w:rsidR="000948F7" w:rsidRPr="000948F7">
              <w:rPr>
                <w:rFonts w:eastAsia="Calibri"/>
                <w:b/>
                <w:sz w:val="22"/>
                <w:szCs w:val="22"/>
              </w:rPr>
              <w:t>:</w:t>
            </w:r>
          </w:p>
        </w:tc>
        <w:tc>
          <w:tcPr>
            <w:tcW w:w="5374" w:type="dxa"/>
          </w:tcPr>
          <w:p w:rsidR="00F41038" w:rsidRDefault="00F41038" w:rsidP="00F41038">
            <w:pPr>
              <w:rPr>
                <w:sz w:val="22"/>
                <w:szCs w:val="22"/>
              </w:rPr>
            </w:pPr>
            <w:r w:rsidRPr="00B40620">
              <w:rPr>
                <w:sz w:val="22"/>
                <w:szCs w:val="22"/>
              </w:rPr>
              <w:t xml:space="preserve">Invoicing and payment for </w:t>
            </w:r>
            <w:r>
              <w:rPr>
                <w:sz w:val="22"/>
                <w:szCs w:val="22"/>
              </w:rPr>
              <w:t>Green Attributes</w:t>
            </w:r>
            <w:r w:rsidRPr="00B40620">
              <w:rPr>
                <w:sz w:val="22"/>
                <w:szCs w:val="22"/>
              </w:rPr>
              <w:t xml:space="preserve"> delivered to Buyer shall be in accordance with Article 6 of the Master Agreement and Buyer shall pay such invoices in accordance with the Master Agreement and this Confirmation</w:t>
            </w:r>
            <w:r>
              <w:rPr>
                <w:sz w:val="22"/>
                <w:szCs w:val="22"/>
              </w:rPr>
              <w:t>.</w:t>
            </w:r>
          </w:p>
          <w:p w:rsidR="00F41038" w:rsidRDefault="00F41038" w:rsidP="00755372">
            <w:pPr>
              <w:rPr>
                <w:rFonts w:eastAsia="Calibri"/>
                <w:sz w:val="22"/>
                <w:szCs w:val="22"/>
              </w:rPr>
            </w:pPr>
          </w:p>
          <w:p w:rsidR="00691044" w:rsidRPr="00755372" w:rsidRDefault="00691044" w:rsidP="00755372">
            <w:pPr>
              <w:rPr>
                <w:rFonts w:eastAsia="Calibri"/>
                <w:sz w:val="22"/>
                <w:szCs w:val="22"/>
              </w:rPr>
            </w:pPr>
            <w:r w:rsidRPr="00755372">
              <w:rPr>
                <w:rFonts w:eastAsia="Calibri"/>
                <w:sz w:val="22"/>
                <w:szCs w:val="22"/>
              </w:rPr>
              <w:t>Seller shall invoice Buyer for the Green Attributes portion of the Product on a monthly basis upon delivery of Green Attributes to Buyer’s WREGIS Account as follows:</w:t>
            </w:r>
          </w:p>
          <w:p w:rsidR="00691044" w:rsidRPr="00755372" w:rsidRDefault="00691044" w:rsidP="00755372">
            <w:pPr>
              <w:rPr>
                <w:rFonts w:eastAsia="Calibri"/>
                <w:sz w:val="22"/>
                <w:szCs w:val="22"/>
              </w:rPr>
            </w:pPr>
          </w:p>
          <w:p w:rsidR="00691044" w:rsidRPr="00755372" w:rsidRDefault="00691044" w:rsidP="001E062A">
            <w:pPr>
              <w:ind w:left="720"/>
              <w:rPr>
                <w:rFonts w:eastAsia="Calibri"/>
                <w:sz w:val="22"/>
                <w:szCs w:val="22"/>
              </w:rPr>
            </w:pPr>
            <w:r w:rsidRPr="00755372">
              <w:rPr>
                <w:rFonts w:eastAsia="Calibri"/>
                <w:sz w:val="22"/>
                <w:szCs w:val="22"/>
              </w:rPr>
              <w:t>RPS Category 1 Premium multiplied by the quantity of RECs delivered to Buyer</w:t>
            </w:r>
            <w:r w:rsidR="00B76BC2" w:rsidRPr="00755372">
              <w:rPr>
                <w:rFonts w:eastAsia="Calibri"/>
                <w:sz w:val="22"/>
                <w:szCs w:val="22"/>
              </w:rPr>
              <w:t>’s WREGIS Account</w:t>
            </w:r>
            <w:r w:rsidRPr="00755372">
              <w:rPr>
                <w:rFonts w:eastAsia="Calibri"/>
                <w:sz w:val="22"/>
                <w:szCs w:val="22"/>
              </w:rPr>
              <w:t xml:space="preserve"> in the invoiced month.</w:t>
            </w:r>
          </w:p>
          <w:p w:rsidR="00691044" w:rsidRPr="00755372" w:rsidRDefault="00691044" w:rsidP="00755372">
            <w:pPr>
              <w:rPr>
                <w:rFonts w:eastAsia="Calibri"/>
                <w:sz w:val="22"/>
                <w:szCs w:val="22"/>
              </w:rPr>
            </w:pPr>
          </w:p>
          <w:p w:rsidR="00691044" w:rsidRDefault="00691044" w:rsidP="00755372">
            <w:pPr>
              <w:rPr>
                <w:rFonts w:eastAsia="Calibri"/>
                <w:sz w:val="22"/>
                <w:szCs w:val="22"/>
              </w:rPr>
            </w:pPr>
            <w:r w:rsidRPr="00755372">
              <w:rPr>
                <w:rFonts w:eastAsia="Calibri"/>
                <w:sz w:val="22"/>
                <w:szCs w:val="22"/>
              </w:rPr>
              <w:t xml:space="preserve">Buyer shall pay Seller for the invoiced RECs within fifteen (15) days of Buyer’s receipt of Seller’s invoice. </w:t>
            </w:r>
            <w:r w:rsidR="00B76BC2" w:rsidRPr="00755372">
              <w:rPr>
                <w:rFonts w:eastAsia="Calibri"/>
                <w:sz w:val="22"/>
                <w:szCs w:val="22"/>
              </w:rPr>
              <w:t xml:space="preserve"> </w:t>
            </w:r>
          </w:p>
          <w:p w:rsidR="00F41038" w:rsidRPr="00755372" w:rsidRDefault="00F41038" w:rsidP="00755372">
            <w:pPr>
              <w:rPr>
                <w:rFonts w:eastAsia="Calibri"/>
                <w:sz w:val="22"/>
                <w:szCs w:val="22"/>
              </w:rPr>
            </w:pPr>
          </w:p>
          <w:p w:rsidR="00691044" w:rsidRDefault="00691044" w:rsidP="00755372">
            <w:pPr>
              <w:rPr>
                <w:rFonts w:eastAsia="Calibri"/>
                <w:sz w:val="22"/>
                <w:szCs w:val="22"/>
              </w:rPr>
            </w:pPr>
            <w:r w:rsidRPr="00755372">
              <w:rPr>
                <w:rFonts w:eastAsia="Calibri"/>
                <w:sz w:val="22"/>
                <w:szCs w:val="22"/>
              </w:rPr>
              <w:t>The provisions in this Confirmation addressing Settlement and Payment of the Energy Price and the RPS Category 1 Premium are for administrative convenience only, and in no way shall modify the definition of Product.</w:t>
            </w:r>
          </w:p>
          <w:p w:rsidR="003909AF" w:rsidRDefault="003909AF" w:rsidP="00755372">
            <w:pPr>
              <w:rPr>
                <w:rFonts w:eastAsia="Calibri"/>
                <w:sz w:val="22"/>
                <w:szCs w:val="22"/>
              </w:rPr>
            </w:pPr>
          </w:p>
          <w:p w:rsidR="003909AF" w:rsidRPr="00896456" w:rsidRDefault="003909AF" w:rsidP="003909AF">
            <w:pPr>
              <w:tabs>
                <w:tab w:val="left" w:pos="720"/>
                <w:tab w:val="left" w:pos="1440"/>
              </w:tabs>
              <w:jc w:val="both"/>
              <w:rPr>
                <w:sz w:val="22"/>
                <w:szCs w:val="22"/>
              </w:rPr>
            </w:pPr>
            <w:r w:rsidRPr="00896456">
              <w:rPr>
                <w:sz w:val="22"/>
                <w:szCs w:val="22"/>
              </w:rPr>
              <w:t>The Parties acknowledge that invoicing and payments for the Energy may not occur in the same month as invoicing and payments for the Green Attributes associated with such Energy due to the delivery of the Green Attributes on WREGIS timelines.</w:t>
            </w:r>
          </w:p>
          <w:p w:rsidR="00691044" w:rsidRPr="00755372" w:rsidRDefault="00691044" w:rsidP="00755372">
            <w:pPr>
              <w:rPr>
                <w:rFonts w:eastAsia="Calibri"/>
                <w:sz w:val="22"/>
                <w:szCs w:val="22"/>
              </w:rPr>
            </w:pPr>
          </w:p>
        </w:tc>
      </w:tr>
      <w:tr w:rsidR="00691044" w:rsidRPr="00F96DE2" w:rsidTr="001E062A">
        <w:tc>
          <w:tcPr>
            <w:tcW w:w="4202" w:type="dxa"/>
          </w:tcPr>
          <w:p w:rsidR="00691044" w:rsidRPr="000948F7" w:rsidRDefault="00691044" w:rsidP="00691044">
            <w:pPr>
              <w:rPr>
                <w:rFonts w:eastAsia="Calibri"/>
                <w:b/>
                <w:sz w:val="22"/>
                <w:szCs w:val="22"/>
              </w:rPr>
            </w:pPr>
            <w:r w:rsidRPr="000948F7">
              <w:rPr>
                <w:rFonts w:eastAsia="Calibri"/>
                <w:b/>
                <w:sz w:val="22"/>
                <w:szCs w:val="22"/>
              </w:rPr>
              <w:t>Carbon Pricing</w:t>
            </w:r>
            <w:r w:rsidR="000948F7">
              <w:rPr>
                <w:rFonts w:eastAsia="Calibri"/>
                <w:b/>
                <w:sz w:val="22"/>
                <w:szCs w:val="22"/>
              </w:rPr>
              <w:t>:</w:t>
            </w:r>
          </w:p>
        </w:tc>
        <w:tc>
          <w:tcPr>
            <w:tcW w:w="5374" w:type="dxa"/>
          </w:tcPr>
          <w:p w:rsidR="00691044" w:rsidRPr="00755372" w:rsidRDefault="00691044" w:rsidP="00755372">
            <w:pPr>
              <w:rPr>
                <w:rFonts w:eastAsia="Calibri"/>
                <w:sz w:val="22"/>
                <w:szCs w:val="22"/>
              </w:rPr>
            </w:pPr>
            <w:r w:rsidRPr="00755372">
              <w:rPr>
                <w:rFonts w:eastAsia="Calibri"/>
                <w:sz w:val="22"/>
                <w:szCs w:val="22"/>
              </w:rPr>
              <w:t>Neither Party shall be responsible to the other Party for any carbon related costs.</w:t>
            </w:r>
          </w:p>
          <w:p w:rsidR="00DD60D6" w:rsidRPr="00755372" w:rsidRDefault="00DD60D6" w:rsidP="00755372">
            <w:pPr>
              <w:rPr>
                <w:rFonts w:eastAsia="Calibri"/>
                <w:sz w:val="22"/>
                <w:szCs w:val="22"/>
              </w:rPr>
            </w:pPr>
          </w:p>
        </w:tc>
      </w:tr>
      <w:tr w:rsidR="00691044" w:rsidRPr="00F96DE2" w:rsidTr="001E062A">
        <w:tc>
          <w:tcPr>
            <w:tcW w:w="4202" w:type="dxa"/>
          </w:tcPr>
          <w:p w:rsidR="00691044" w:rsidRPr="000948F7" w:rsidRDefault="00691044" w:rsidP="00691044">
            <w:pPr>
              <w:rPr>
                <w:rFonts w:eastAsia="Calibri"/>
                <w:b/>
                <w:sz w:val="22"/>
                <w:szCs w:val="22"/>
              </w:rPr>
            </w:pPr>
            <w:r w:rsidRPr="000948F7">
              <w:rPr>
                <w:rFonts w:eastAsia="Calibri"/>
                <w:b/>
                <w:sz w:val="22"/>
                <w:szCs w:val="22"/>
              </w:rPr>
              <w:t>Credit</w:t>
            </w:r>
            <w:r w:rsidR="000948F7">
              <w:rPr>
                <w:rFonts w:eastAsia="Calibri"/>
                <w:b/>
                <w:sz w:val="22"/>
                <w:szCs w:val="22"/>
              </w:rPr>
              <w:t>:</w:t>
            </w:r>
          </w:p>
        </w:tc>
        <w:tc>
          <w:tcPr>
            <w:tcW w:w="5374" w:type="dxa"/>
          </w:tcPr>
          <w:p w:rsidR="00691044" w:rsidRPr="00755372" w:rsidRDefault="00C8679B" w:rsidP="00755372">
            <w:pPr>
              <w:rPr>
                <w:rFonts w:eastAsia="Calibri"/>
                <w:sz w:val="22"/>
                <w:szCs w:val="22"/>
              </w:rPr>
            </w:pPr>
            <w:r w:rsidRPr="00755372">
              <w:rPr>
                <w:rFonts w:eastAsia="Calibri"/>
                <w:sz w:val="22"/>
                <w:szCs w:val="22"/>
              </w:rPr>
              <w:t>As per the terms of the</w:t>
            </w:r>
            <w:r w:rsidR="000507E3" w:rsidRPr="00755372">
              <w:rPr>
                <w:rFonts w:eastAsia="Calibri"/>
                <w:sz w:val="22"/>
                <w:szCs w:val="22"/>
              </w:rPr>
              <w:t xml:space="preserve"> </w:t>
            </w:r>
            <w:r w:rsidR="00691044" w:rsidRPr="00755372">
              <w:rPr>
                <w:rFonts w:eastAsia="Calibri"/>
                <w:sz w:val="22"/>
                <w:szCs w:val="22"/>
              </w:rPr>
              <w:t>Master Agreement</w:t>
            </w:r>
            <w:r w:rsidR="000507E3" w:rsidRPr="00755372">
              <w:rPr>
                <w:rFonts w:eastAsia="Calibri"/>
                <w:sz w:val="22"/>
                <w:szCs w:val="22"/>
              </w:rPr>
              <w:t>.</w:t>
            </w:r>
            <w:r w:rsidR="00691044" w:rsidRPr="00755372">
              <w:rPr>
                <w:rFonts w:eastAsia="Calibri"/>
                <w:sz w:val="22"/>
                <w:szCs w:val="22"/>
              </w:rPr>
              <w:t xml:space="preserve"> </w:t>
            </w:r>
          </w:p>
          <w:p w:rsidR="00DD60D6" w:rsidRPr="00755372" w:rsidRDefault="00DD60D6" w:rsidP="00755372">
            <w:pPr>
              <w:rPr>
                <w:rFonts w:eastAsia="Calibri"/>
                <w:sz w:val="22"/>
                <w:szCs w:val="22"/>
              </w:rPr>
            </w:pPr>
          </w:p>
        </w:tc>
      </w:tr>
      <w:tr w:rsidR="00691044" w:rsidRPr="00F96DE2" w:rsidTr="001E062A">
        <w:tc>
          <w:tcPr>
            <w:tcW w:w="4202" w:type="dxa"/>
          </w:tcPr>
          <w:p w:rsidR="00691044" w:rsidRPr="000948F7" w:rsidRDefault="00691044" w:rsidP="000948F7">
            <w:pPr>
              <w:jc w:val="both"/>
              <w:rPr>
                <w:rFonts w:eastAsia="Calibri"/>
                <w:b/>
                <w:sz w:val="22"/>
                <w:szCs w:val="22"/>
              </w:rPr>
            </w:pPr>
            <w:r w:rsidRPr="000948F7">
              <w:rPr>
                <w:rFonts w:eastAsia="Calibri"/>
                <w:b/>
                <w:sz w:val="22"/>
                <w:szCs w:val="22"/>
              </w:rPr>
              <w:t>Assignment</w:t>
            </w:r>
            <w:r w:rsidR="000948F7">
              <w:rPr>
                <w:rFonts w:eastAsia="Calibri"/>
                <w:b/>
                <w:sz w:val="22"/>
                <w:szCs w:val="22"/>
              </w:rPr>
              <w:t>:</w:t>
            </w:r>
          </w:p>
        </w:tc>
        <w:tc>
          <w:tcPr>
            <w:tcW w:w="5374" w:type="dxa"/>
          </w:tcPr>
          <w:p w:rsidR="00691044" w:rsidRPr="00755372" w:rsidRDefault="00691044" w:rsidP="00755372">
            <w:pPr>
              <w:rPr>
                <w:rFonts w:eastAsia="Calibri"/>
                <w:sz w:val="22"/>
                <w:szCs w:val="22"/>
              </w:rPr>
            </w:pPr>
            <w:r w:rsidRPr="00755372">
              <w:rPr>
                <w:rFonts w:eastAsia="Calibri"/>
                <w:sz w:val="22"/>
                <w:szCs w:val="22"/>
              </w:rPr>
              <w:t>Neither Party shall assign this Agreement or its rights hereunder without the prior written consent of the other Party, which consent shall not be unreasonably withheld; provided, however, either Party may, without the consent of the other Party (and without relieving itself from liability hereunder), transfer, sell, pledge, encumber or assign this Agreement or the accounts, revenues or proceeds hereof to its financing providers and the financing provider(s) shall assume the payment and performance obligations provided under this Agreement with respect to the transferring Party provided, however, that in each such case, any such assignee shall agree in writing to be bound by the terms and conditions hereof and so long as the transferring Party delivers such tax and enforceability assurance as the non-transferring Party may reasonably request. [STC 16]</w:t>
            </w:r>
          </w:p>
          <w:p w:rsidR="00DD60D6" w:rsidRPr="00755372" w:rsidRDefault="00DD60D6" w:rsidP="00755372">
            <w:pPr>
              <w:rPr>
                <w:rFonts w:eastAsia="Calibri"/>
                <w:sz w:val="22"/>
                <w:szCs w:val="22"/>
              </w:rPr>
            </w:pPr>
          </w:p>
        </w:tc>
      </w:tr>
      <w:tr w:rsidR="00691044" w:rsidRPr="00F96DE2" w:rsidTr="001E062A">
        <w:tc>
          <w:tcPr>
            <w:tcW w:w="4202" w:type="dxa"/>
          </w:tcPr>
          <w:p w:rsidR="00691044" w:rsidRPr="000948F7" w:rsidRDefault="00691044" w:rsidP="00691044">
            <w:pPr>
              <w:rPr>
                <w:rFonts w:eastAsia="Calibri"/>
                <w:b/>
                <w:sz w:val="22"/>
                <w:szCs w:val="22"/>
              </w:rPr>
            </w:pPr>
            <w:r w:rsidRPr="000948F7">
              <w:rPr>
                <w:rFonts w:eastAsia="Calibri"/>
                <w:b/>
                <w:sz w:val="22"/>
                <w:szCs w:val="22"/>
              </w:rPr>
              <w:t>Governing Law</w:t>
            </w:r>
            <w:r w:rsidR="000948F7">
              <w:rPr>
                <w:rFonts w:eastAsia="Calibri"/>
                <w:b/>
                <w:sz w:val="22"/>
                <w:szCs w:val="22"/>
              </w:rPr>
              <w:t>:</w:t>
            </w:r>
          </w:p>
        </w:tc>
        <w:tc>
          <w:tcPr>
            <w:tcW w:w="5374" w:type="dxa"/>
          </w:tcPr>
          <w:p w:rsidR="00691044" w:rsidRDefault="00691044" w:rsidP="00755372">
            <w:pPr>
              <w:rPr>
                <w:rFonts w:eastAsia="Calibri"/>
                <w:sz w:val="22"/>
                <w:szCs w:val="22"/>
              </w:rPr>
            </w:pPr>
            <w:r w:rsidRPr="00755372">
              <w:rPr>
                <w:rFonts w:eastAsia="Calibri"/>
                <w:sz w:val="22"/>
                <w:szCs w:val="22"/>
              </w:rPr>
              <w:t>This agreement and the rights and duties of the parties hereunder shall be governed by and construed, enforced and performed in accordance with the laws of the state of California, without regard to principles of conflicts of law.   [STC 17]</w:t>
            </w:r>
          </w:p>
          <w:p w:rsidR="00DD60D6" w:rsidRPr="00755372" w:rsidRDefault="00DD60D6" w:rsidP="00755372">
            <w:pPr>
              <w:rPr>
                <w:rFonts w:eastAsia="Calibri"/>
                <w:sz w:val="22"/>
                <w:szCs w:val="22"/>
              </w:rPr>
            </w:pPr>
          </w:p>
        </w:tc>
      </w:tr>
      <w:tr w:rsidR="00691044" w:rsidRPr="00F96DE2" w:rsidTr="001E062A">
        <w:tc>
          <w:tcPr>
            <w:tcW w:w="4202" w:type="dxa"/>
          </w:tcPr>
          <w:p w:rsidR="00691044" w:rsidRPr="000948F7" w:rsidRDefault="00691044" w:rsidP="00691044">
            <w:pPr>
              <w:rPr>
                <w:rFonts w:eastAsia="Calibri"/>
                <w:b/>
                <w:sz w:val="22"/>
                <w:szCs w:val="22"/>
              </w:rPr>
            </w:pPr>
            <w:r w:rsidRPr="000948F7">
              <w:rPr>
                <w:rFonts w:eastAsia="Calibri"/>
                <w:b/>
                <w:sz w:val="22"/>
                <w:szCs w:val="22"/>
              </w:rPr>
              <w:t>Representations and Warranties</w:t>
            </w:r>
            <w:r w:rsidR="000948F7">
              <w:rPr>
                <w:rFonts w:eastAsia="Calibri"/>
                <w:b/>
                <w:sz w:val="22"/>
                <w:szCs w:val="22"/>
              </w:rPr>
              <w:t>:</w:t>
            </w:r>
          </w:p>
        </w:tc>
        <w:tc>
          <w:tcPr>
            <w:tcW w:w="5374" w:type="dxa"/>
          </w:tcPr>
          <w:p w:rsidR="00691044" w:rsidRPr="00755372" w:rsidRDefault="00691044" w:rsidP="00755372">
            <w:pPr>
              <w:rPr>
                <w:rFonts w:eastAsia="Calibri"/>
                <w:sz w:val="22"/>
                <w:szCs w:val="22"/>
              </w:rPr>
            </w:pPr>
            <w:r w:rsidRPr="00755372">
              <w:rPr>
                <w:rFonts w:eastAsia="Calibri"/>
                <w:sz w:val="22"/>
                <w:szCs w:val="22"/>
              </w:rPr>
              <w:t>Seller, and, if applicable, its successors, represents and warrants that throughout the Delivery Term of this Agreement that:  (i) the Project qualifies and is certified by the CEC as an Eligible Renewable Energy Resource (“ERR”) as such term is defined in Public Utilities Code Section 399.12 or Section 399.16; and (ii)</w:t>
            </w:r>
            <w:r w:rsidR="00DD60D6" w:rsidRPr="00755372">
              <w:rPr>
                <w:rFonts w:eastAsia="Calibri"/>
                <w:sz w:val="22"/>
                <w:szCs w:val="22"/>
              </w:rPr>
              <w:t xml:space="preserve"> </w:t>
            </w:r>
            <w:r w:rsidRPr="00755372">
              <w:rPr>
                <w:rFonts w:eastAsia="Calibri"/>
                <w:sz w:val="22"/>
                <w:szCs w:val="22"/>
              </w:rPr>
              <w:t xml:space="preserve">the Project’s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 [STC 6] </w:t>
            </w:r>
          </w:p>
          <w:p w:rsidR="00691044" w:rsidRPr="00755372" w:rsidRDefault="00691044" w:rsidP="00755372">
            <w:pPr>
              <w:rPr>
                <w:rFonts w:eastAsia="Calibri"/>
                <w:sz w:val="22"/>
                <w:szCs w:val="22"/>
              </w:rPr>
            </w:pPr>
          </w:p>
          <w:p w:rsidR="00691044" w:rsidRPr="00755372" w:rsidRDefault="00691044" w:rsidP="00755372">
            <w:pPr>
              <w:rPr>
                <w:rFonts w:eastAsia="Calibri"/>
                <w:sz w:val="22"/>
                <w:szCs w:val="22"/>
              </w:rPr>
            </w:pPr>
            <w:r w:rsidRPr="00755372">
              <w:rPr>
                <w:rFonts w:eastAsia="Calibri"/>
                <w:sz w:val="22"/>
                <w:szCs w:val="22"/>
              </w:rPr>
              <w:t>Seller, and, if applicable, its successors, represents and warrants that, as of the date of execution of this Confirmation and as of the date on which Seller provides notice to Buyer of the addition of a pooled facility to Schedule A in accordance with this Confirmation, the Product delivered by Seller to Buyer meets the RPS compliance requirements for Category 1 as set forth in California Public Utilities Code Section 399.16(b)(1)(A) and California Public Utilities Commission (“CPUC”) Decision 11-12-052 (“RPS Category 1”).</w:t>
            </w:r>
          </w:p>
          <w:p w:rsidR="00691044" w:rsidRPr="00755372" w:rsidRDefault="00691044" w:rsidP="00755372">
            <w:pPr>
              <w:rPr>
                <w:rFonts w:eastAsia="Calibri"/>
                <w:sz w:val="22"/>
                <w:szCs w:val="22"/>
              </w:rPr>
            </w:pPr>
          </w:p>
          <w:p w:rsidR="00691044" w:rsidRPr="00755372" w:rsidRDefault="00691044" w:rsidP="00755372">
            <w:pPr>
              <w:rPr>
                <w:rFonts w:eastAsia="Calibri"/>
                <w:sz w:val="22"/>
                <w:szCs w:val="22"/>
              </w:rPr>
            </w:pPr>
            <w:r w:rsidRPr="00755372">
              <w:rPr>
                <w:rFonts w:eastAsia="Calibri"/>
                <w:sz w:val="22"/>
                <w:szCs w:val="22"/>
              </w:rPr>
              <w:t>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r w:rsidR="00DD60D6" w:rsidRPr="00755372">
              <w:rPr>
                <w:rFonts w:eastAsia="Calibri"/>
                <w:sz w:val="22"/>
                <w:szCs w:val="22"/>
              </w:rPr>
              <w:t xml:space="preserve"> </w:t>
            </w:r>
            <w:r w:rsidRPr="00755372">
              <w:rPr>
                <w:rFonts w:eastAsia="Calibri"/>
                <w:sz w:val="22"/>
                <w:szCs w:val="22"/>
              </w:rPr>
              <w:t xml:space="preserve">[STC REC -1] </w:t>
            </w:r>
          </w:p>
          <w:p w:rsidR="00691044" w:rsidRPr="00755372" w:rsidRDefault="00691044" w:rsidP="00755372">
            <w:pPr>
              <w:rPr>
                <w:rFonts w:eastAsia="Calibri"/>
                <w:sz w:val="22"/>
                <w:szCs w:val="22"/>
              </w:rPr>
            </w:pPr>
          </w:p>
          <w:p w:rsidR="00691044" w:rsidRPr="00755372" w:rsidRDefault="00691044" w:rsidP="00755372">
            <w:pPr>
              <w:rPr>
                <w:rFonts w:eastAsia="Calibri"/>
                <w:sz w:val="22"/>
                <w:szCs w:val="22"/>
              </w:rPr>
            </w:pPr>
            <w:r w:rsidRPr="00755372">
              <w:rPr>
                <w:rFonts w:eastAsia="Calibri"/>
                <w:sz w:val="22"/>
                <w:szCs w:val="22"/>
              </w:rPr>
              <w:t xml:space="preserve">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 [STC 2] </w:t>
            </w:r>
          </w:p>
          <w:p w:rsidR="00691044" w:rsidRPr="00755372" w:rsidRDefault="00691044" w:rsidP="00755372">
            <w:pPr>
              <w:rPr>
                <w:rFonts w:eastAsia="Calibri"/>
                <w:sz w:val="22"/>
                <w:szCs w:val="22"/>
              </w:rPr>
            </w:pPr>
          </w:p>
          <w:p w:rsidR="00691044" w:rsidRPr="00755372" w:rsidRDefault="00691044" w:rsidP="00755372">
            <w:pPr>
              <w:rPr>
                <w:rFonts w:eastAsia="Calibri"/>
                <w:sz w:val="22"/>
                <w:szCs w:val="22"/>
              </w:rPr>
            </w:pPr>
            <w:r w:rsidRPr="00755372">
              <w:rPr>
                <w:rFonts w:eastAsia="Calibri"/>
                <w:sz w:val="22"/>
                <w:szCs w:val="22"/>
              </w:rPr>
              <w:t>For the purposes of STC REC-1 and STC 6 “Commercially reasonable efforts” shall not require Seller to expend more than $5,000 in aggregate out-of-pocket costs and expenses to comply with such change in law.</w:t>
            </w:r>
          </w:p>
          <w:p w:rsidR="00691044" w:rsidRPr="00755372" w:rsidRDefault="00691044" w:rsidP="00755372">
            <w:pPr>
              <w:rPr>
                <w:rFonts w:eastAsia="Calibri"/>
                <w:sz w:val="22"/>
                <w:szCs w:val="22"/>
              </w:rPr>
            </w:pPr>
          </w:p>
          <w:p w:rsidR="00691044" w:rsidRPr="00755372" w:rsidRDefault="00691044" w:rsidP="00755372">
            <w:pPr>
              <w:rPr>
                <w:rFonts w:eastAsia="Calibri"/>
                <w:sz w:val="22"/>
                <w:szCs w:val="22"/>
              </w:rPr>
            </w:pPr>
            <w:r w:rsidRPr="00755372">
              <w:rPr>
                <w:rFonts w:eastAsia="Calibri"/>
                <w:sz w:val="22"/>
                <w:szCs w:val="22"/>
              </w:rPr>
              <w:t>Seller, and if applicable, its successors, represents and warrants to Buyer throughout the Delivery Term, that:</w:t>
            </w:r>
          </w:p>
          <w:p w:rsidR="00691044" w:rsidRPr="00755372" w:rsidRDefault="00691044" w:rsidP="00755372">
            <w:pPr>
              <w:rPr>
                <w:rFonts w:eastAsia="Calibri"/>
                <w:sz w:val="22"/>
                <w:szCs w:val="22"/>
              </w:rPr>
            </w:pPr>
          </w:p>
          <w:p w:rsidR="00691044" w:rsidRPr="00755372" w:rsidRDefault="00691044" w:rsidP="00755372">
            <w:pPr>
              <w:numPr>
                <w:ilvl w:val="0"/>
                <w:numId w:val="11"/>
              </w:numPr>
              <w:rPr>
                <w:rFonts w:eastAsia="Calibri"/>
                <w:sz w:val="22"/>
                <w:szCs w:val="22"/>
              </w:rPr>
            </w:pPr>
            <w:r w:rsidRPr="00755372">
              <w:rPr>
                <w:rFonts w:eastAsia="Calibri"/>
                <w:sz w:val="22"/>
                <w:szCs w:val="22"/>
              </w:rPr>
              <w:t>Seller has good and marketable title to the Product being sold and delivered to Buyer pursuant to this Agreement;</w:t>
            </w:r>
          </w:p>
          <w:p w:rsidR="00691044" w:rsidRPr="00755372" w:rsidRDefault="00691044" w:rsidP="00755372">
            <w:pPr>
              <w:numPr>
                <w:ilvl w:val="0"/>
                <w:numId w:val="11"/>
              </w:numPr>
              <w:rPr>
                <w:rFonts w:eastAsia="Calibri"/>
                <w:sz w:val="22"/>
                <w:szCs w:val="22"/>
              </w:rPr>
            </w:pPr>
            <w:r w:rsidRPr="00755372">
              <w:rPr>
                <w:rFonts w:eastAsia="Calibri"/>
                <w:sz w:val="22"/>
                <w:szCs w:val="22"/>
              </w:rPr>
              <w:t>Seller has not sold separately or committed to any third party any of the Product being sold and delivered to Buyer pursuant to this Agreement;</w:t>
            </w:r>
          </w:p>
          <w:p w:rsidR="00691044" w:rsidRPr="00755372" w:rsidRDefault="00691044" w:rsidP="00755372">
            <w:pPr>
              <w:numPr>
                <w:ilvl w:val="0"/>
                <w:numId w:val="11"/>
              </w:numPr>
              <w:rPr>
                <w:rFonts w:eastAsia="Calibri"/>
                <w:sz w:val="22"/>
                <w:szCs w:val="22"/>
              </w:rPr>
            </w:pPr>
            <w:r w:rsidRPr="00755372">
              <w:rPr>
                <w:rFonts w:eastAsia="Calibri"/>
                <w:sz w:val="22"/>
                <w:szCs w:val="22"/>
              </w:rPr>
              <w:t>the Green Attributes being sold and delivered to Buyer pursuant to this Agreement have not been sold or otherwise claimed by Seller or, to Seller’s knowledge, any third party;</w:t>
            </w:r>
          </w:p>
          <w:p w:rsidR="00691044" w:rsidRPr="00755372" w:rsidRDefault="00691044" w:rsidP="00755372">
            <w:pPr>
              <w:numPr>
                <w:ilvl w:val="0"/>
                <w:numId w:val="11"/>
              </w:numPr>
              <w:rPr>
                <w:rFonts w:eastAsia="Calibri"/>
                <w:sz w:val="22"/>
                <w:szCs w:val="22"/>
              </w:rPr>
            </w:pPr>
            <w:r w:rsidRPr="00755372">
              <w:rPr>
                <w:rFonts w:eastAsia="Calibri"/>
                <w:sz w:val="22"/>
                <w:szCs w:val="22"/>
              </w:rPr>
              <w:t>the Green Attributes being sold and delivered to Buyer pursuant to this Agreement have not been used to meet any federal, state or local renewable energy requirement, renewable energy procurement, renewable portfolio standard, or other renewable energy mandate by Seller or, to Seller’s knowledge, any third party;</w:t>
            </w:r>
          </w:p>
          <w:p w:rsidR="00691044" w:rsidRPr="00755372" w:rsidRDefault="00691044" w:rsidP="00755372">
            <w:pPr>
              <w:numPr>
                <w:ilvl w:val="0"/>
                <w:numId w:val="11"/>
              </w:numPr>
              <w:rPr>
                <w:rFonts w:eastAsia="Calibri"/>
                <w:sz w:val="22"/>
                <w:szCs w:val="22"/>
              </w:rPr>
            </w:pPr>
            <w:r w:rsidRPr="00755372">
              <w:rPr>
                <w:rFonts w:eastAsia="Calibri"/>
                <w:sz w:val="22"/>
                <w:szCs w:val="22"/>
              </w:rPr>
              <w:t>the Green Attributes being sold and delivered to Buyer pursuant to this Agreement are associated with generation from the Project during the Delivery Period;</w:t>
            </w:r>
          </w:p>
          <w:p w:rsidR="00691044" w:rsidRPr="00755372" w:rsidRDefault="00691044" w:rsidP="00755372">
            <w:pPr>
              <w:numPr>
                <w:ilvl w:val="0"/>
                <w:numId w:val="11"/>
              </w:numPr>
              <w:rPr>
                <w:rFonts w:eastAsia="Calibri"/>
                <w:sz w:val="22"/>
                <w:szCs w:val="22"/>
              </w:rPr>
            </w:pPr>
            <w:r w:rsidRPr="00755372">
              <w:rPr>
                <w:rFonts w:eastAsia="Calibri"/>
                <w:sz w:val="22"/>
                <w:szCs w:val="22"/>
              </w:rPr>
              <w:t>The Project has its first point of interconnection to the WECC transmission grid within the metered boundaries of a California balancing authority area.</w:t>
            </w:r>
          </w:p>
          <w:p w:rsidR="00691044" w:rsidRPr="00755372" w:rsidRDefault="00691044" w:rsidP="00755372">
            <w:pPr>
              <w:rPr>
                <w:rFonts w:eastAsia="Calibri"/>
                <w:sz w:val="22"/>
                <w:szCs w:val="22"/>
              </w:rPr>
            </w:pPr>
          </w:p>
        </w:tc>
      </w:tr>
      <w:tr w:rsidR="00691044" w:rsidRPr="00F96DE2" w:rsidTr="001E062A">
        <w:tc>
          <w:tcPr>
            <w:tcW w:w="4202" w:type="dxa"/>
          </w:tcPr>
          <w:p w:rsidR="00691044" w:rsidRPr="000948F7" w:rsidRDefault="00691044" w:rsidP="00691044">
            <w:pPr>
              <w:rPr>
                <w:rFonts w:eastAsia="Calibri"/>
                <w:b/>
                <w:sz w:val="22"/>
                <w:szCs w:val="22"/>
              </w:rPr>
            </w:pPr>
            <w:r w:rsidRPr="000948F7">
              <w:rPr>
                <w:rFonts w:eastAsia="Calibri"/>
                <w:b/>
                <w:sz w:val="22"/>
                <w:szCs w:val="22"/>
              </w:rPr>
              <w:t>RPS Category 1 Delivery Obligations</w:t>
            </w:r>
            <w:r w:rsidR="000948F7">
              <w:rPr>
                <w:rFonts w:eastAsia="Calibri"/>
                <w:b/>
                <w:sz w:val="22"/>
                <w:szCs w:val="22"/>
              </w:rPr>
              <w:t>:</w:t>
            </w:r>
          </w:p>
        </w:tc>
        <w:tc>
          <w:tcPr>
            <w:tcW w:w="5374" w:type="dxa"/>
          </w:tcPr>
          <w:p w:rsidR="00691044" w:rsidRPr="00755372" w:rsidRDefault="00691044" w:rsidP="00755372">
            <w:pPr>
              <w:rPr>
                <w:rFonts w:eastAsia="Calibri"/>
                <w:sz w:val="22"/>
                <w:szCs w:val="22"/>
              </w:rPr>
            </w:pPr>
            <w:r w:rsidRPr="00755372">
              <w:rPr>
                <w:rFonts w:eastAsia="Calibri"/>
                <w:sz w:val="22"/>
                <w:szCs w:val="22"/>
              </w:rPr>
              <w:t xml:space="preserve">Seller shall use </w:t>
            </w:r>
            <w:r w:rsidR="00DD60D6" w:rsidRPr="00755372">
              <w:rPr>
                <w:rFonts w:eastAsia="Calibri"/>
                <w:sz w:val="22"/>
                <w:szCs w:val="22"/>
              </w:rPr>
              <w:t xml:space="preserve">the </w:t>
            </w:r>
            <w:r w:rsidRPr="00755372">
              <w:rPr>
                <w:rFonts w:eastAsia="Calibri"/>
                <w:sz w:val="22"/>
                <w:szCs w:val="22"/>
              </w:rPr>
              <w:t xml:space="preserve">Western Renewable Energy Generation Information System (WREGIS) to transfer RECs to Buyer within 30 days of receipt of RECs in Seller’s WREGIS account and in accordance with the terms and conditions of this Confirmation, provided that, in no event shall RECs be transferred that do not contain the California RPS Certification Number. </w:t>
            </w:r>
          </w:p>
          <w:p w:rsidR="00691044" w:rsidRPr="00755372" w:rsidRDefault="00691044" w:rsidP="00755372">
            <w:pPr>
              <w:rPr>
                <w:rFonts w:eastAsia="Calibri"/>
                <w:sz w:val="22"/>
                <w:szCs w:val="22"/>
              </w:rPr>
            </w:pPr>
          </w:p>
          <w:p w:rsidR="00691044" w:rsidRPr="00755372" w:rsidRDefault="00691044" w:rsidP="00755372">
            <w:pPr>
              <w:rPr>
                <w:rFonts w:eastAsia="Calibri"/>
                <w:sz w:val="22"/>
                <w:szCs w:val="22"/>
              </w:rPr>
            </w:pPr>
            <w:r w:rsidRPr="00755372">
              <w:rPr>
                <w:rFonts w:eastAsia="Calibri"/>
                <w:sz w:val="22"/>
                <w:szCs w:val="22"/>
              </w:rPr>
              <w:t xml:space="preserve">Seller warrants that all necessary steps to allow the Renewable Energy Credits transferred to Buyer to be tracked in the Western Renewable Energy Generation Information System will be taken prior to the first delivery under the contract. [STC REC-2]   </w:t>
            </w:r>
          </w:p>
          <w:p w:rsidR="00691044" w:rsidRPr="00755372" w:rsidRDefault="00691044" w:rsidP="00755372">
            <w:pPr>
              <w:rPr>
                <w:rFonts w:eastAsia="Calibri"/>
                <w:sz w:val="22"/>
                <w:szCs w:val="22"/>
              </w:rPr>
            </w:pPr>
          </w:p>
          <w:p w:rsidR="00691044" w:rsidRPr="00755372" w:rsidRDefault="00691044" w:rsidP="00755372">
            <w:pPr>
              <w:rPr>
                <w:rFonts w:eastAsia="Calibri"/>
                <w:sz w:val="22"/>
                <w:szCs w:val="22"/>
              </w:rPr>
            </w:pPr>
            <w:r w:rsidRPr="00755372">
              <w:rPr>
                <w:rFonts w:eastAsia="Calibri"/>
                <w:sz w:val="22"/>
                <w:szCs w:val="22"/>
              </w:rPr>
              <w:t>Buyer warrants that all necessary steps to allow the Renewable Energy Credits transferred to Buyer to be tracked in the Western Renewable Energy Generation Information System will be taken prior to the first delivery under the contract.</w:t>
            </w:r>
          </w:p>
          <w:p w:rsidR="00691044" w:rsidRPr="00755372" w:rsidRDefault="00691044" w:rsidP="00755372">
            <w:pPr>
              <w:ind w:left="360"/>
              <w:rPr>
                <w:rFonts w:eastAsia="Calibri"/>
                <w:sz w:val="22"/>
                <w:szCs w:val="22"/>
              </w:rPr>
            </w:pPr>
          </w:p>
          <w:p w:rsidR="00691044" w:rsidRPr="00755372" w:rsidRDefault="00691044" w:rsidP="00755372">
            <w:pPr>
              <w:numPr>
                <w:ilvl w:val="0"/>
                <w:numId w:val="13"/>
              </w:numPr>
              <w:rPr>
                <w:rFonts w:eastAsia="Calibri"/>
                <w:sz w:val="22"/>
                <w:szCs w:val="22"/>
              </w:rPr>
            </w:pPr>
            <w:r w:rsidRPr="00755372">
              <w:rPr>
                <w:rFonts w:eastAsia="Calibri"/>
                <w:sz w:val="22"/>
                <w:szCs w:val="22"/>
              </w:rPr>
              <w:t>For RECs not tracked in WREGIS due to circumstances beyond reasonable control of the Seller, Seller shall provide all necessary documentation in order for the CEC to assign California RPS eligibility to non-WREGIS RECs.  Seller shall, at its sole expense, take all actions and execute all documents or instruments necessary to ensure that all WREGIS Certificates associated with all Renewable Energy Credits corresponding to all delivered electricity are issued and tracked for purposes of satisfying the requirements of the California Renewables Portfolio Standard and transferred in a timely manner to Buyer for Buyer’s sole benefit.</w:t>
            </w:r>
          </w:p>
          <w:p w:rsidR="00691044" w:rsidRPr="00755372" w:rsidRDefault="00691044" w:rsidP="00755372">
            <w:pPr>
              <w:numPr>
                <w:ilvl w:val="0"/>
                <w:numId w:val="13"/>
              </w:numPr>
              <w:rPr>
                <w:rFonts w:eastAsia="Calibri"/>
                <w:sz w:val="22"/>
                <w:szCs w:val="22"/>
              </w:rPr>
            </w:pPr>
            <w:r w:rsidRPr="00755372">
              <w:rPr>
                <w:rFonts w:eastAsia="Calibri"/>
                <w:sz w:val="22"/>
                <w:szCs w:val="22"/>
              </w:rPr>
              <w:t>Seller shall, at its sole expense, ensure that the WREGIS Certificates for a given calendar month correspond with the delivered electricity for such calendar month as evidenced by the Project’</w:t>
            </w:r>
            <w:r w:rsidR="000507E3" w:rsidRPr="00755372">
              <w:rPr>
                <w:rFonts w:eastAsia="Calibri"/>
                <w:sz w:val="22"/>
                <w:szCs w:val="22"/>
              </w:rPr>
              <w:t>s</w:t>
            </w:r>
            <w:r w:rsidRPr="00755372">
              <w:rPr>
                <w:rFonts w:eastAsia="Calibri"/>
                <w:sz w:val="22"/>
                <w:szCs w:val="22"/>
              </w:rPr>
              <w:t xml:space="preserve"> metered data during the Delivery Term.</w:t>
            </w:r>
          </w:p>
          <w:p w:rsidR="00691044" w:rsidRPr="00755372" w:rsidRDefault="00691044" w:rsidP="00755372">
            <w:pPr>
              <w:numPr>
                <w:ilvl w:val="0"/>
                <w:numId w:val="13"/>
              </w:numPr>
              <w:rPr>
                <w:rFonts w:eastAsia="Calibri"/>
                <w:sz w:val="22"/>
                <w:szCs w:val="22"/>
              </w:rPr>
            </w:pPr>
            <w:r w:rsidRPr="00755372">
              <w:rPr>
                <w:rFonts w:eastAsia="Calibri"/>
                <w:sz w:val="22"/>
                <w:szCs w:val="22"/>
              </w:rPr>
              <w:t>For the term of the Agreement, Seller shall deliver and convey the Green Attributes as provided above by properly transferring WREGIS Certificates corresponding to such Green Attributes, using “</w:t>
            </w:r>
            <w:r w:rsidR="000507E3" w:rsidRPr="00755372">
              <w:rPr>
                <w:rFonts w:eastAsia="Calibri"/>
                <w:sz w:val="22"/>
                <w:szCs w:val="22"/>
              </w:rPr>
              <w:t>Inter-Account</w:t>
            </w:r>
            <w:r w:rsidRPr="00755372">
              <w:rPr>
                <w:rFonts w:eastAsia="Calibri"/>
                <w:sz w:val="22"/>
                <w:szCs w:val="22"/>
              </w:rPr>
              <w:t>” (as described in the WREGIS Operating Rules)  from Seller’s WREGIS account to  Buyer’s WREGIS account such that all right, title and interest in and to such WREGIS Certificates shall transfer from Seller to Buyer.  Seller shall be responsible for all expenses associated with establishing and maintaining Seller’s WREGIS Account.</w:t>
            </w:r>
          </w:p>
          <w:p w:rsidR="00691044" w:rsidRPr="00755372" w:rsidRDefault="00691044" w:rsidP="00755372">
            <w:pPr>
              <w:numPr>
                <w:ilvl w:val="0"/>
                <w:numId w:val="13"/>
              </w:numPr>
              <w:rPr>
                <w:rFonts w:eastAsia="Calibri"/>
                <w:sz w:val="22"/>
                <w:szCs w:val="22"/>
              </w:rPr>
            </w:pPr>
            <w:r w:rsidRPr="00755372">
              <w:rPr>
                <w:rFonts w:eastAsia="Calibri"/>
                <w:sz w:val="22"/>
                <w:szCs w:val="22"/>
              </w:rPr>
              <w:t xml:space="preserve">Seller shall exercise commercially reasonable efforts to assist Buyer (or its affiliates) with Buyer’s (or its affiliate’s) RPS compliance filings which are directly related to this </w:t>
            </w:r>
            <w:r w:rsidR="00CE4971" w:rsidRPr="00755372">
              <w:rPr>
                <w:rFonts w:eastAsia="Calibri"/>
                <w:sz w:val="22"/>
                <w:szCs w:val="22"/>
              </w:rPr>
              <w:t>T</w:t>
            </w:r>
            <w:r w:rsidRPr="00755372">
              <w:rPr>
                <w:rFonts w:eastAsia="Calibri"/>
                <w:sz w:val="22"/>
                <w:szCs w:val="22"/>
              </w:rPr>
              <w:t>ransaction, as may be necessary.</w:t>
            </w:r>
          </w:p>
          <w:p w:rsidR="00691044" w:rsidRPr="00755372" w:rsidRDefault="00691044" w:rsidP="00755372">
            <w:pPr>
              <w:rPr>
                <w:rFonts w:eastAsia="Calibri"/>
                <w:sz w:val="22"/>
                <w:szCs w:val="22"/>
              </w:rPr>
            </w:pPr>
          </w:p>
        </w:tc>
      </w:tr>
      <w:tr w:rsidR="00691044" w:rsidRPr="00F96DE2" w:rsidTr="001E062A">
        <w:tc>
          <w:tcPr>
            <w:tcW w:w="4202" w:type="dxa"/>
          </w:tcPr>
          <w:p w:rsidR="00691044" w:rsidRPr="000948F7" w:rsidRDefault="00691044" w:rsidP="00691044">
            <w:pPr>
              <w:rPr>
                <w:rFonts w:eastAsia="Calibri"/>
                <w:b/>
                <w:sz w:val="22"/>
                <w:szCs w:val="22"/>
              </w:rPr>
            </w:pPr>
            <w:r w:rsidRPr="000948F7">
              <w:rPr>
                <w:rFonts w:eastAsia="Calibri"/>
                <w:b/>
                <w:sz w:val="22"/>
                <w:szCs w:val="22"/>
              </w:rPr>
              <w:t>Definitions</w:t>
            </w:r>
            <w:r w:rsidR="000948F7">
              <w:rPr>
                <w:rFonts w:eastAsia="Calibri"/>
                <w:b/>
                <w:sz w:val="22"/>
                <w:szCs w:val="22"/>
              </w:rPr>
              <w:t>:</w:t>
            </w:r>
          </w:p>
        </w:tc>
        <w:tc>
          <w:tcPr>
            <w:tcW w:w="5374" w:type="dxa"/>
          </w:tcPr>
          <w:p w:rsidR="00506A68" w:rsidRPr="00506A68" w:rsidRDefault="00506A68" w:rsidP="00506A68">
            <w:pPr>
              <w:numPr>
                <w:ilvl w:val="0"/>
                <w:numId w:val="14"/>
              </w:numPr>
              <w:rPr>
                <w:rFonts w:eastAsia="Calibri"/>
                <w:sz w:val="22"/>
                <w:szCs w:val="22"/>
              </w:rPr>
            </w:pPr>
            <w:r>
              <w:t>“Integrated Forward Market” or “IFM” has the meaning set forth in the Tariff.</w:t>
            </w:r>
          </w:p>
          <w:p w:rsidR="00506A68" w:rsidRPr="00506A68" w:rsidRDefault="00506A68" w:rsidP="00506A68">
            <w:pPr>
              <w:ind w:left="720"/>
              <w:rPr>
                <w:rFonts w:eastAsia="Calibri"/>
                <w:sz w:val="22"/>
                <w:szCs w:val="22"/>
              </w:rPr>
            </w:pPr>
          </w:p>
          <w:p w:rsidR="00691044" w:rsidRPr="00755372" w:rsidRDefault="00691044" w:rsidP="00755372">
            <w:pPr>
              <w:numPr>
                <w:ilvl w:val="0"/>
                <w:numId w:val="14"/>
              </w:numPr>
              <w:rPr>
                <w:rFonts w:eastAsia="Calibri"/>
                <w:sz w:val="22"/>
                <w:szCs w:val="22"/>
              </w:rPr>
            </w:pPr>
            <w:r w:rsidRPr="00755372">
              <w:rPr>
                <w:rFonts w:eastAsia="Calibri"/>
                <w:sz w:val="22"/>
                <w:szCs w:val="22"/>
              </w:rPr>
              <w:t>“MW” means megawatt.</w:t>
            </w:r>
          </w:p>
          <w:p w:rsidR="00691044" w:rsidRPr="00755372" w:rsidRDefault="00691044" w:rsidP="00755372">
            <w:pPr>
              <w:ind w:left="720"/>
              <w:rPr>
                <w:rFonts w:eastAsia="Calibri"/>
                <w:sz w:val="22"/>
                <w:szCs w:val="22"/>
              </w:rPr>
            </w:pPr>
          </w:p>
          <w:p w:rsidR="00691044" w:rsidRPr="00755372" w:rsidRDefault="00691044" w:rsidP="00755372">
            <w:pPr>
              <w:numPr>
                <w:ilvl w:val="0"/>
                <w:numId w:val="14"/>
              </w:numPr>
              <w:rPr>
                <w:rFonts w:eastAsia="Calibri"/>
                <w:sz w:val="22"/>
                <w:szCs w:val="22"/>
              </w:rPr>
            </w:pPr>
            <w:r w:rsidRPr="00755372">
              <w:rPr>
                <w:rFonts w:eastAsia="Calibri"/>
                <w:sz w:val="22"/>
                <w:szCs w:val="22"/>
              </w:rPr>
              <w:t>“MWh” means megawatt-hour.</w:t>
            </w:r>
          </w:p>
          <w:p w:rsidR="00691044" w:rsidRPr="00755372" w:rsidRDefault="00691044" w:rsidP="00755372">
            <w:pPr>
              <w:rPr>
                <w:rFonts w:eastAsia="Calibri"/>
                <w:sz w:val="22"/>
                <w:szCs w:val="22"/>
              </w:rPr>
            </w:pPr>
          </w:p>
          <w:p w:rsidR="00506A68" w:rsidRPr="00506A68" w:rsidRDefault="00506A68" w:rsidP="00755372">
            <w:pPr>
              <w:numPr>
                <w:ilvl w:val="0"/>
                <w:numId w:val="14"/>
              </w:numPr>
              <w:rPr>
                <w:rFonts w:eastAsia="Calibri"/>
                <w:sz w:val="22"/>
                <w:szCs w:val="22"/>
              </w:rPr>
            </w:pPr>
            <w:r>
              <w:rPr>
                <w:bCs/>
                <w:iCs/>
              </w:rPr>
              <w:t>“Real-Time Market” has the meaning set forth in the Tariff and shall include any market that CAISO may establish prior to or during the Term that clears at an interval between the Day-Ahead Market and the Real-Time Market.</w:t>
            </w:r>
          </w:p>
          <w:p w:rsidR="00506A68" w:rsidRDefault="00506A68" w:rsidP="00506A68">
            <w:pPr>
              <w:ind w:left="720"/>
              <w:rPr>
                <w:rFonts w:eastAsia="Calibri"/>
                <w:sz w:val="22"/>
                <w:szCs w:val="22"/>
              </w:rPr>
            </w:pPr>
          </w:p>
          <w:p w:rsidR="00691044" w:rsidRPr="00755372" w:rsidRDefault="00691044" w:rsidP="00755372">
            <w:pPr>
              <w:numPr>
                <w:ilvl w:val="0"/>
                <w:numId w:val="14"/>
              </w:numPr>
              <w:rPr>
                <w:rFonts w:eastAsia="Calibri"/>
                <w:sz w:val="22"/>
                <w:szCs w:val="22"/>
              </w:rPr>
            </w:pPr>
            <w:r w:rsidRPr="00755372">
              <w:rPr>
                <w:rFonts w:eastAsia="Calibri"/>
                <w:sz w:val="22"/>
                <w:szCs w:val="22"/>
              </w:rPr>
              <w:t>“RECs” or “Renewable Energy Credits” has the meaning set forth in the California Public Utilities Code Section 399.12 and CPUC Decision 08-08-028, as may be amended or supplemented from time to time or as further defined or supplemented by law.</w:t>
            </w:r>
          </w:p>
          <w:p w:rsidR="00691044" w:rsidRPr="00755372" w:rsidRDefault="00691044" w:rsidP="00755372">
            <w:pPr>
              <w:ind w:left="720"/>
              <w:rPr>
                <w:rFonts w:eastAsia="Calibri"/>
                <w:sz w:val="22"/>
                <w:szCs w:val="22"/>
              </w:rPr>
            </w:pPr>
          </w:p>
          <w:p w:rsidR="00691044" w:rsidRPr="00755372" w:rsidRDefault="00691044" w:rsidP="00755372">
            <w:pPr>
              <w:numPr>
                <w:ilvl w:val="0"/>
                <w:numId w:val="14"/>
              </w:numPr>
              <w:rPr>
                <w:rFonts w:eastAsia="Calibri"/>
                <w:sz w:val="22"/>
                <w:szCs w:val="22"/>
              </w:rPr>
            </w:pPr>
            <w:r w:rsidRPr="00755372">
              <w:rPr>
                <w:rFonts w:eastAsia="Calibri"/>
                <w:sz w:val="22"/>
                <w:szCs w:val="22"/>
              </w:rPr>
              <w:t xml:space="preserve">“RPS” or California Renewables Portfolio Standard” means the renewable energy program and policies established by Senate Bills 1038 and 1078 and 2 (1X) codified in California Public Utilities Code Sections 399.11 </w:t>
            </w:r>
            <w:r w:rsidRPr="00755372">
              <w:rPr>
                <w:rFonts w:eastAsia="Calibri"/>
                <w:i/>
                <w:sz w:val="22"/>
                <w:szCs w:val="22"/>
              </w:rPr>
              <w:t>et seq</w:t>
            </w:r>
            <w:r w:rsidRPr="00755372">
              <w:rPr>
                <w:rFonts w:eastAsia="Calibri"/>
                <w:sz w:val="22"/>
                <w:szCs w:val="22"/>
              </w:rPr>
              <w:t xml:space="preserve"> and California Public Resources Code Sections 25740 through 25751, as such provisions are amended or supplemented from time to time.</w:t>
            </w:r>
          </w:p>
          <w:p w:rsidR="00691044" w:rsidRPr="00755372" w:rsidRDefault="00691044" w:rsidP="00755372">
            <w:pPr>
              <w:ind w:left="720"/>
              <w:rPr>
                <w:rFonts w:eastAsia="Calibri"/>
                <w:sz w:val="22"/>
                <w:szCs w:val="22"/>
              </w:rPr>
            </w:pPr>
          </w:p>
          <w:p w:rsidR="00506A68" w:rsidRDefault="00506A68" w:rsidP="00755372">
            <w:pPr>
              <w:numPr>
                <w:ilvl w:val="0"/>
                <w:numId w:val="14"/>
              </w:numPr>
              <w:rPr>
                <w:rFonts w:eastAsia="Calibri"/>
                <w:sz w:val="22"/>
                <w:szCs w:val="22"/>
              </w:rPr>
            </w:pPr>
            <w:r w:rsidRPr="00506A68">
              <w:rPr>
                <w:rFonts w:eastAsia="Calibri"/>
                <w:sz w:val="22"/>
                <w:szCs w:val="22"/>
              </w:rPr>
              <w:t>“Tariff” means the CAISO Fifth Replacement FERC Electric Tariff, as amended from time to time.</w:t>
            </w:r>
            <w:r w:rsidRPr="00755372">
              <w:rPr>
                <w:rFonts w:eastAsia="Calibri"/>
                <w:sz w:val="22"/>
                <w:szCs w:val="22"/>
              </w:rPr>
              <w:t xml:space="preserve"> </w:t>
            </w:r>
          </w:p>
          <w:p w:rsidR="00506A68" w:rsidRDefault="00506A68" w:rsidP="00506A68">
            <w:pPr>
              <w:ind w:left="720"/>
              <w:rPr>
                <w:rFonts w:eastAsia="Calibri"/>
                <w:sz w:val="22"/>
                <w:szCs w:val="22"/>
              </w:rPr>
            </w:pPr>
          </w:p>
          <w:p w:rsidR="00691044" w:rsidRPr="00755372" w:rsidRDefault="00691044" w:rsidP="00755372">
            <w:pPr>
              <w:numPr>
                <w:ilvl w:val="0"/>
                <w:numId w:val="14"/>
              </w:numPr>
              <w:rPr>
                <w:rFonts w:eastAsia="Calibri"/>
                <w:sz w:val="22"/>
                <w:szCs w:val="22"/>
              </w:rPr>
            </w:pPr>
            <w:r w:rsidRPr="00755372">
              <w:rPr>
                <w:rFonts w:eastAsia="Calibri"/>
                <w:sz w:val="22"/>
                <w:szCs w:val="22"/>
              </w:rPr>
              <w:t>“WECC” means the Western Electricity Coordinating Coun</w:t>
            </w:r>
            <w:r w:rsidR="000507E3" w:rsidRPr="00755372">
              <w:rPr>
                <w:rFonts w:eastAsia="Calibri"/>
                <w:sz w:val="22"/>
                <w:szCs w:val="22"/>
              </w:rPr>
              <w:t>ci</w:t>
            </w:r>
            <w:r w:rsidRPr="00755372">
              <w:rPr>
                <w:rFonts w:eastAsia="Calibri"/>
                <w:sz w:val="22"/>
                <w:szCs w:val="22"/>
              </w:rPr>
              <w:t>l.</w:t>
            </w:r>
          </w:p>
          <w:p w:rsidR="00691044" w:rsidRPr="00755372" w:rsidRDefault="00691044" w:rsidP="00755372">
            <w:pPr>
              <w:rPr>
                <w:rFonts w:eastAsia="Calibri"/>
                <w:sz w:val="22"/>
                <w:szCs w:val="22"/>
              </w:rPr>
            </w:pPr>
          </w:p>
          <w:p w:rsidR="00506A68" w:rsidRPr="00506A68" w:rsidRDefault="00506A68" w:rsidP="00755372">
            <w:pPr>
              <w:numPr>
                <w:ilvl w:val="0"/>
                <w:numId w:val="14"/>
              </w:numPr>
              <w:rPr>
                <w:rFonts w:eastAsia="Calibri"/>
                <w:sz w:val="22"/>
                <w:szCs w:val="22"/>
              </w:rPr>
            </w:pPr>
            <w:r w:rsidRPr="004B65AD">
              <w:rPr>
                <w:bCs/>
                <w:iCs/>
              </w:rPr>
              <w:t>“WECC Preschedule Calendar” means the annual Preschedule Calendar set by the Western Electricity Coordinating Council that defines the timing for scheduling of energy transmission for new months and approved holidays</w:t>
            </w:r>
            <w:r>
              <w:rPr>
                <w:bCs/>
                <w:iCs/>
              </w:rPr>
              <w:t>.</w:t>
            </w:r>
          </w:p>
          <w:p w:rsidR="00506A68" w:rsidRDefault="00506A68" w:rsidP="00506A68">
            <w:pPr>
              <w:ind w:left="720"/>
              <w:rPr>
                <w:rFonts w:eastAsia="Calibri"/>
                <w:sz w:val="22"/>
                <w:szCs w:val="22"/>
              </w:rPr>
            </w:pPr>
          </w:p>
          <w:p w:rsidR="00691044" w:rsidRPr="00755372" w:rsidRDefault="00691044" w:rsidP="00755372">
            <w:pPr>
              <w:numPr>
                <w:ilvl w:val="0"/>
                <w:numId w:val="14"/>
              </w:numPr>
              <w:rPr>
                <w:rFonts w:eastAsia="Calibri"/>
                <w:sz w:val="22"/>
                <w:szCs w:val="22"/>
              </w:rPr>
            </w:pPr>
            <w:r w:rsidRPr="00755372">
              <w:rPr>
                <w:rFonts w:eastAsia="Calibri"/>
                <w:sz w:val="22"/>
                <w:szCs w:val="22"/>
              </w:rPr>
              <w:t>“WREGIS” means the Western Renewable Energy Generation Information System or any successor renewable energy tracking program.</w:t>
            </w:r>
          </w:p>
          <w:p w:rsidR="00691044" w:rsidRPr="00755372" w:rsidRDefault="00691044" w:rsidP="00755372">
            <w:pPr>
              <w:rPr>
                <w:rFonts w:eastAsia="Calibri"/>
                <w:sz w:val="22"/>
                <w:szCs w:val="22"/>
              </w:rPr>
            </w:pPr>
          </w:p>
          <w:p w:rsidR="00691044" w:rsidRPr="00755372" w:rsidRDefault="00691044" w:rsidP="00755372">
            <w:pPr>
              <w:numPr>
                <w:ilvl w:val="0"/>
                <w:numId w:val="14"/>
              </w:numPr>
              <w:rPr>
                <w:rFonts w:eastAsia="Calibri"/>
                <w:sz w:val="22"/>
                <w:szCs w:val="22"/>
              </w:rPr>
            </w:pPr>
            <w:r w:rsidRPr="00755372">
              <w:rPr>
                <w:rFonts w:eastAsia="Calibri"/>
                <w:sz w:val="22"/>
                <w:szCs w:val="22"/>
              </w:rPr>
              <w:t>“WREGIS Certificate” means a “Certificate” as defined by WREGIS in the WREGIS Operating Rules and designated by law as eligible for complying with the California Renewables Portfolio Standard.</w:t>
            </w:r>
          </w:p>
          <w:p w:rsidR="00691044" w:rsidRPr="00755372" w:rsidRDefault="00691044" w:rsidP="00755372">
            <w:pPr>
              <w:rPr>
                <w:rFonts w:eastAsia="Calibri"/>
                <w:sz w:val="22"/>
                <w:szCs w:val="22"/>
              </w:rPr>
            </w:pPr>
          </w:p>
          <w:p w:rsidR="00691044" w:rsidRPr="00755372" w:rsidRDefault="00691044" w:rsidP="00755372">
            <w:pPr>
              <w:numPr>
                <w:ilvl w:val="0"/>
                <w:numId w:val="14"/>
              </w:numPr>
              <w:rPr>
                <w:rFonts w:eastAsia="Calibri"/>
                <w:sz w:val="22"/>
                <w:szCs w:val="22"/>
              </w:rPr>
            </w:pPr>
            <w:r w:rsidRPr="00755372">
              <w:rPr>
                <w:rFonts w:eastAsia="Calibri"/>
                <w:sz w:val="22"/>
                <w:szCs w:val="22"/>
              </w:rPr>
              <w:t>“WREGIS Operating Rules” means those operating rules and requirements adopted by WREGIS, as subsequently amended, supplemented or replaced from time to time.</w:t>
            </w:r>
          </w:p>
          <w:p w:rsidR="00962D8A" w:rsidRPr="00755372" w:rsidRDefault="00962D8A" w:rsidP="00755372">
            <w:pPr>
              <w:ind w:left="720"/>
              <w:rPr>
                <w:rFonts w:eastAsia="Calibri"/>
                <w:sz w:val="22"/>
                <w:szCs w:val="22"/>
              </w:rPr>
            </w:pPr>
          </w:p>
        </w:tc>
      </w:tr>
    </w:tbl>
    <w:p w:rsidR="00691044" w:rsidRPr="00F84F5A" w:rsidRDefault="00691044">
      <w:pPr>
        <w:jc w:val="both"/>
        <w:rPr>
          <w:rFonts w:ascii="Arial" w:hAnsi="Arial" w:cs="Arial"/>
          <w:b/>
          <w:sz w:val="22"/>
          <w:szCs w:val="22"/>
        </w:rPr>
      </w:pPr>
    </w:p>
    <w:p w:rsidR="00996664" w:rsidRDefault="00996664">
      <w:pPr>
        <w:jc w:val="both"/>
        <w:rPr>
          <w:rFonts w:ascii="Arial" w:hAnsi="Arial" w:cs="Arial"/>
          <w:sz w:val="22"/>
          <w:szCs w:val="22"/>
        </w:rPr>
      </w:pPr>
      <w:bookmarkStart w:id="0" w:name="_DV_M23"/>
      <w:bookmarkStart w:id="1" w:name="_DV_M30"/>
      <w:bookmarkStart w:id="2" w:name="_DV_M37"/>
      <w:bookmarkStart w:id="3" w:name="_DV_M38"/>
      <w:bookmarkStart w:id="4" w:name="_DV_M40"/>
      <w:bookmarkStart w:id="5" w:name="_DV_M41"/>
      <w:bookmarkEnd w:id="0"/>
      <w:bookmarkEnd w:id="1"/>
      <w:bookmarkEnd w:id="2"/>
      <w:bookmarkEnd w:id="3"/>
      <w:bookmarkEnd w:id="4"/>
      <w:bookmarkEnd w:id="5"/>
    </w:p>
    <w:p w:rsidR="002753E9" w:rsidRPr="00F96DE2" w:rsidRDefault="002753E9">
      <w:pPr>
        <w:jc w:val="both"/>
        <w:rPr>
          <w:rFonts w:ascii="Arial" w:hAnsi="Arial" w:cs="Arial"/>
          <w:sz w:val="22"/>
          <w:szCs w:val="22"/>
        </w:rPr>
      </w:pPr>
    </w:p>
    <w:tbl>
      <w:tblPr>
        <w:tblW w:w="9828" w:type="dxa"/>
        <w:tblLayout w:type="fixed"/>
        <w:tblLook w:val="01E0"/>
      </w:tblPr>
      <w:tblGrid>
        <w:gridCol w:w="4428"/>
        <w:gridCol w:w="720"/>
        <w:gridCol w:w="4680"/>
      </w:tblGrid>
      <w:tr w:rsidR="00996664" w:rsidRPr="00F96DE2" w:rsidTr="008925F2">
        <w:trPr>
          <w:trHeight w:val="540"/>
        </w:trPr>
        <w:tc>
          <w:tcPr>
            <w:tcW w:w="4428" w:type="dxa"/>
          </w:tcPr>
          <w:p w:rsidR="00996664" w:rsidRPr="00755372" w:rsidRDefault="00996664">
            <w:pPr>
              <w:rPr>
                <w:b/>
                <w:sz w:val="22"/>
                <w:szCs w:val="22"/>
              </w:rPr>
            </w:pPr>
          </w:p>
          <w:p w:rsidR="00996664" w:rsidRPr="00755372" w:rsidRDefault="005C098A" w:rsidP="00B54435">
            <w:pPr>
              <w:rPr>
                <w:sz w:val="22"/>
                <w:szCs w:val="22"/>
              </w:rPr>
            </w:pPr>
            <w:r w:rsidRPr="00755372">
              <w:rPr>
                <w:b/>
                <w:sz w:val="22"/>
                <w:szCs w:val="22"/>
              </w:rPr>
              <w:t>[</w:t>
            </w:r>
            <w:r w:rsidR="00B54435">
              <w:rPr>
                <w:b/>
                <w:i/>
                <w:sz w:val="22"/>
                <w:szCs w:val="22"/>
              </w:rPr>
              <w:t>Seller</w:t>
            </w:r>
            <w:r w:rsidRPr="00755372">
              <w:rPr>
                <w:b/>
                <w:sz w:val="22"/>
                <w:szCs w:val="22"/>
              </w:rPr>
              <w:t>]</w:t>
            </w:r>
          </w:p>
        </w:tc>
        <w:tc>
          <w:tcPr>
            <w:tcW w:w="720" w:type="dxa"/>
          </w:tcPr>
          <w:p w:rsidR="00996664" w:rsidRPr="00F96DE2" w:rsidRDefault="00996664">
            <w:pPr>
              <w:rPr>
                <w:rFonts w:ascii="Arial" w:hAnsi="Arial" w:cs="Arial"/>
                <w:sz w:val="22"/>
                <w:szCs w:val="22"/>
              </w:rPr>
            </w:pPr>
          </w:p>
        </w:tc>
        <w:tc>
          <w:tcPr>
            <w:tcW w:w="4680" w:type="dxa"/>
            <w:vAlign w:val="bottom"/>
          </w:tcPr>
          <w:p w:rsidR="00996664" w:rsidRPr="00755372" w:rsidRDefault="006723DB" w:rsidP="006B283F">
            <w:pPr>
              <w:rPr>
                <w:b/>
                <w:sz w:val="20"/>
                <w:szCs w:val="20"/>
              </w:rPr>
            </w:pPr>
            <w:r w:rsidRPr="00755372">
              <w:rPr>
                <w:b/>
                <w:sz w:val="22"/>
              </w:rPr>
              <w:t xml:space="preserve">Marin </w:t>
            </w:r>
            <w:r w:rsidR="006B283F" w:rsidRPr="00755372">
              <w:rPr>
                <w:b/>
                <w:sz w:val="22"/>
              </w:rPr>
              <w:t xml:space="preserve">Clean </w:t>
            </w:r>
            <w:r w:rsidRPr="00755372">
              <w:rPr>
                <w:b/>
                <w:sz w:val="22"/>
              </w:rPr>
              <w:t xml:space="preserve">Energy </w:t>
            </w:r>
          </w:p>
        </w:tc>
      </w:tr>
      <w:tr w:rsidR="00996664" w:rsidRPr="00F96DE2">
        <w:tc>
          <w:tcPr>
            <w:tcW w:w="4428" w:type="dxa"/>
          </w:tcPr>
          <w:p w:rsidR="002363FD" w:rsidRPr="00755372" w:rsidRDefault="002363FD">
            <w:pPr>
              <w:rPr>
                <w:sz w:val="22"/>
                <w:szCs w:val="22"/>
              </w:rPr>
            </w:pPr>
          </w:p>
          <w:p w:rsidR="00996664" w:rsidRPr="00755372" w:rsidRDefault="002363FD">
            <w:pPr>
              <w:rPr>
                <w:sz w:val="22"/>
                <w:szCs w:val="22"/>
                <w:u w:val="single"/>
              </w:rPr>
            </w:pPr>
            <w:r w:rsidRPr="00755372">
              <w:rPr>
                <w:sz w:val="22"/>
                <w:szCs w:val="22"/>
              </w:rPr>
              <w:t xml:space="preserve">By:  </w:t>
            </w:r>
            <w:r w:rsidRPr="00755372">
              <w:rPr>
                <w:sz w:val="22"/>
                <w:szCs w:val="22"/>
                <w:u w:val="single"/>
              </w:rPr>
              <w:tab/>
            </w:r>
            <w:r w:rsidRPr="00755372">
              <w:rPr>
                <w:sz w:val="22"/>
                <w:szCs w:val="22"/>
                <w:u w:val="single"/>
              </w:rPr>
              <w:tab/>
            </w:r>
            <w:r w:rsidRPr="00755372">
              <w:rPr>
                <w:sz w:val="22"/>
                <w:szCs w:val="22"/>
                <w:u w:val="single"/>
              </w:rPr>
              <w:tab/>
            </w:r>
            <w:r w:rsidRPr="00755372">
              <w:rPr>
                <w:sz w:val="22"/>
                <w:szCs w:val="22"/>
                <w:u w:val="single"/>
              </w:rPr>
              <w:tab/>
            </w:r>
            <w:r w:rsidRPr="00755372">
              <w:rPr>
                <w:sz w:val="22"/>
                <w:szCs w:val="22"/>
                <w:u w:val="single"/>
              </w:rPr>
              <w:tab/>
            </w:r>
          </w:p>
        </w:tc>
        <w:tc>
          <w:tcPr>
            <w:tcW w:w="720" w:type="dxa"/>
          </w:tcPr>
          <w:p w:rsidR="00996664" w:rsidRPr="00F96DE2" w:rsidRDefault="00996664">
            <w:pPr>
              <w:rPr>
                <w:rFonts w:ascii="Arial" w:hAnsi="Arial" w:cs="Arial"/>
                <w:sz w:val="22"/>
                <w:szCs w:val="22"/>
              </w:rPr>
            </w:pPr>
          </w:p>
        </w:tc>
        <w:tc>
          <w:tcPr>
            <w:tcW w:w="4680" w:type="dxa"/>
          </w:tcPr>
          <w:p w:rsidR="00996664" w:rsidRPr="00755372" w:rsidRDefault="00996664">
            <w:pPr>
              <w:rPr>
                <w:sz w:val="22"/>
                <w:szCs w:val="22"/>
              </w:rPr>
            </w:pPr>
          </w:p>
          <w:p w:rsidR="00996664" w:rsidRPr="00755372" w:rsidRDefault="00996664" w:rsidP="006D6A62">
            <w:pPr>
              <w:rPr>
                <w:sz w:val="22"/>
                <w:szCs w:val="22"/>
              </w:rPr>
            </w:pPr>
            <w:r w:rsidRPr="00755372">
              <w:rPr>
                <w:sz w:val="22"/>
                <w:szCs w:val="22"/>
              </w:rPr>
              <w:t>By:</w:t>
            </w:r>
            <w:r w:rsidR="002363FD" w:rsidRPr="00755372">
              <w:rPr>
                <w:sz w:val="22"/>
                <w:szCs w:val="22"/>
              </w:rPr>
              <w:t xml:space="preserve">  </w:t>
            </w:r>
            <w:r w:rsidR="006D6A62" w:rsidRPr="00755372">
              <w:rPr>
                <w:sz w:val="22"/>
                <w:szCs w:val="22"/>
                <w:u w:val="single"/>
              </w:rPr>
              <w:tab/>
            </w:r>
            <w:r w:rsidR="006D6A62" w:rsidRPr="00755372">
              <w:rPr>
                <w:sz w:val="22"/>
                <w:szCs w:val="22"/>
                <w:u w:val="single"/>
              </w:rPr>
              <w:tab/>
            </w:r>
            <w:r w:rsidR="006D6A62" w:rsidRPr="00755372">
              <w:rPr>
                <w:sz w:val="22"/>
                <w:szCs w:val="22"/>
                <w:u w:val="single"/>
              </w:rPr>
              <w:tab/>
            </w:r>
            <w:r w:rsidR="006D6A62" w:rsidRPr="00755372">
              <w:rPr>
                <w:sz w:val="22"/>
                <w:szCs w:val="22"/>
                <w:u w:val="single"/>
              </w:rPr>
              <w:tab/>
            </w:r>
            <w:r w:rsidR="006D6A62" w:rsidRPr="00755372">
              <w:rPr>
                <w:sz w:val="22"/>
                <w:szCs w:val="22"/>
                <w:u w:val="single"/>
              </w:rPr>
              <w:tab/>
            </w:r>
          </w:p>
        </w:tc>
      </w:tr>
      <w:tr w:rsidR="00996664" w:rsidRPr="00F96DE2">
        <w:tc>
          <w:tcPr>
            <w:tcW w:w="4428" w:type="dxa"/>
          </w:tcPr>
          <w:p w:rsidR="00996664" w:rsidRPr="00755372" w:rsidRDefault="00996664">
            <w:pPr>
              <w:rPr>
                <w:sz w:val="22"/>
                <w:szCs w:val="22"/>
              </w:rPr>
            </w:pPr>
          </w:p>
        </w:tc>
        <w:tc>
          <w:tcPr>
            <w:tcW w:w="720" w:type="dxa"/>
          </w:tcPr>
          <w:p w:rsidR="00996664" w:rsidRPr="00F96DE2" w:rsidRDefault="00996664">
            <w:pPr>
              <w:rPr>
                <w:rFonts w:ascii="Arial" w:hAnsi="Arial" w:cs="Arial"/>
                <w:sz w:val="22"/>
                <w:szCs w:val="22"/>
              </w:rPr>
            </w:pPr>
          </w:p>
        </w:tc>
        <w:tc>
          <w:tcPr>
            <w:tcW w:w="4680" w:type="dxa"/>
          </w:tcPr>
          <w:p w:rsidR="00996664" w:rsidRPr="00755372" w:rsidRDefault="00996664">
            <w:pPr>
              <w:rPr>
                <w:sz w:val="22"/>
                <w:szCs w:val="22"/>
              </w:rPr>
            </w:pPr>
          </w:p>
        </w:tc>
      </w:tr>
      <w:tr w:rsidR="00996664" w:rsidRPr="00F96DE2">
        <w:tc>
          <w:tcPr>
            <w:tcW w:w="4428" w:type="dxa"/>
          </w:tcPr>
          <w:p w:rsidR="00996664" w:rsidRPr="00755372" w:rsidRDefault="002363FD" w:rsidP="006D6A62">
            <w:pPr>
              <w:rPr>
                <w:sz w:val="22"/>
                <w:szCs w:val="22"/>
                <w:u w:val="single"/>
              </w:rPr>
            </w:pPr>
            <w:r w:rsidRPr="00755372">
              <w:rPr>
                <w:sz w:val="22"/>
                <w:szCs w:val="22"/>
              </w:rPr>
              <w:t xml:space="preserve">Name:  </w:t>
            </w:r>
            <w:r w:rsidRPr="00755372">
              <w:rPr>
                <w:sz w:val="22"/>
                <w:szCs w:val="22"/>
                <w:u w:val="single"/>
              </w:rPr>
              <w:tab/>
            </w:r>
            <w:r w:rsidR="006D6A62" w:rsidRPr="00755372">
              <w:rPr>
                <w:sz w:val="22"/>
                <w:szCs w:val="22"/>
                <w:u w:val="single"/>
              </w:rPr>
              <w:tab/>
            </w:r>
            <w:r w:rsidR="006D6A62" w:rsidRPr="00755372">
              <w:rPr>
                <w:sz w:val="22"/>
                <w:szCs w:val="22"/>
                <w:u w:val="single"/>
              </w:rPr>
              <w:tab/>
            </w:r>
            <w:r w:rsidR="006D6A62" w:rsidRPr="00755372">
              <w:rPr>
                <w:sz w:val="22"/>
                <w:szCs w:val="22"/>
                <w:u w:val="single"/>
              </w:rPr>
              <w:tab/>
            </w:r>
            <w:r w:rsidR="006D6A62" w:rsidRPr="00755372">
              <w:rPr>
                <w:sz w:val="22"/>
                <w:szCs w:val="22"/>
                <w:u w:val="single"/>
              </w:rPr>
              <w:tab/>
            </w:r>
          </w:p>
        </w:tc>
        <w:tc>
          <w:tcPr>
            <w:tcW w:w="720" w:type="dxa"/>
          </w:tcPr>
          <w:p w:rsidR="00996664" w:rsidRPr="00F96DE2" w:rsidRDefault="00996664">
            <w:pPr>
              <w:rPr>
                <w:rFonts w:ascii="Arial" w:hAnsi="Arial" w:cs="Arial"/>
                <w:sz w:val="22"/>
                <w:szCs w:val="22"/>
              </w:rPr>
            </w:pPr>
          </w:p>
        </w:tc>
        <w:tc>
          <w:tcPr>
            <w:tcW w:w="4680" w:type="dxa"/>
          </w:tcPr>
          <w:p w:rsidR="00996664" w:rsidRPr="00755372" w:rsidRDefault="002363FD" w:rsidP="006D6A62">
            <w:pPr>
              <w:tabs>
                <w:tab w:val="left" w:pos="3582"/>
              </w:tabs>
              <w:rPr>
                <w:sz w:val="22"/>
                <w:szCs w:val="22"/>
                <w:u w:val="single"/>
              </w:rPr>
            </w:pPr>
            <w:r w:rsidRPr="00755372">
              <w:rPr>
                <w:sz w:val="22"/>
                <w:szCs w:val="22"/>
              </w:rPr>
              <w:t xml:space="preserve">Name:  </w:t>
            </w:r>
            <w:r w:rsidR="00945987" w:rsidRPr="00755372">
              <w:rPr>
                <w:sz w:val="22"/>
                <w:szCs w:val="22"/>
                <w:u w:val="single"/>
              </w:rPr>
              <w:t>Dawn Weisz</w:t>
            </w:r>
            <w:r w:rsidR="006D6A62" w:rsidRPr="00755372">
              <w:rPr>
                <w:sz w:val="22"/>
                <w:szCs w:val="22"/>
                <w:u w:val="single"/>
              </w:rPr>
              <w:tab/>
            </w:r>
          </w:p>
        </w:tc>
      </w:tr>
      <w:tr w:rsidR="002363FD" w:rsidRPr="00F96DE2">
        <w:tc>
          <w:tcPr>
            <w:tcW w:w="4428" w:type="dxa"/>
          </w:tcPr>
          <w:p w:rsidR="002363FD" w:rsidRPr="00755372" w:rsidRDefault="002363FD">
            <w:pPr>
              <w:rPr>
                <w:sz w:val="22"/>
                <w:szCs w:val="22"/>
              </w:rPr>
            </w:pPr>
          </w:p>
        </w:tc>
        <w:tc>
          <w:tcPr>
            <w:tcW w:w="720" w:type="dxa"/>
          </w:tcPr>
          <w:p w:rsidR="002363FD" w:rsidRPr="00F96DE2" w:rsidRDefault="002363FD">
            <w:pPr>
              <w:rPr>
                <w:rFonts w:ascii="Arial" w:hAnsi="Arial" w:cs="Arial"/>
                <w:sz w:val="22"/>
                <w:szCs w:val="22"/>
              </w:rPr>
            </w:pPr>
          </w:p>
        </w:tc>
        <w:tc>
          <w:tcPr>
            <w:tcW w:w="4680" w:type="dxa"/>
          </w:tcPr>
          <w:p w:rsidR="002363FD" w:rsidRPr="00755372" w:rsidRDefault="002363FD">
            <w:pPr>
              <w:rPr>
                <w:sz w:val="22"/>
                <w:szCs w:val="22"/>
              </w:rPr>
            </w:pPr>
          </w:p>
        </w:tc>
      </w:tr>
      <w:tr w:rsidR="002363FD" w:rsidRPr="00F96DE2">
        <w:tc>
          <w:tcPr>
            <w:tcW w:w="4428" w:type="dxa"/>
          </w:tcPr>
          <w:p w:rsidR="002363FD" w:rsidRPr="00755372" w:rsidRDefault="002363FD" w:rsidP="006D6A62">
            <w:pPr>
              <w:rPr>
                <w:sz w:val="22"/>
                <w:szCs w:val="22"/>
                <w:u w:val="single"/>
              </w:rPr>
            </w:pPr>
            <w:r w:rsidRPr="00755372">
              <w:rPr>
                <w:sz w:val="22"/>
                <w:szCs w:val="22"/>
              </w:rPr>
              <w:t xml:space="preserve">Title:  </w:t>
            </w:r>
            <w:r w:rsidR="006D6A62" w:rsidRPr="00755372">
              <w:rPr>
                <w:sz w:val="22"/>
                <w:szCs w:val="22"/>
                <w:u w:val="single"/>
              </w:rPr>
              <w:tab/>
            </w:r>
            <w:r w:rsidR="006D6A62" w:rsidRPr="00755372">
              <w:rPr>
                <w:sz w:val="22"/>
                <w:szCs w:val="22"/>
                <w:u w:val="single"/>
              </w:rPr>
              <w:tab/>
            </w:r>
            <w:r w:rsidR="006D6A62" w:rsidRPr="00755372">
              <w:rPr>
                <w:sz w:val="22"/>
                <w:szCs w:val="22"/>
                <w:u w:val="single"/>
              </w:rPr>
              <w:tab/>
            </w:r>
            <w:r w:rsidR="006D6A62" w:rsidRPr="00755372">
              <w:rPr>
                <w:sz w:val="22"/>
                <w:szCs w:val="22"/>
                <w:u w:val="single"/>
              </w:rPr>
              <w:tab/>
            </w:r>
            <w:r w:rsidR="006D6A62" w:rsidRPr="00755372">
              <w:rPr>
                <w:sz w:val="22"/>
                <w:szCs w:val="22"/>
                <w:u w:val="single"/>
              </w:rPr>
              <w:tab/>
            </w:r>
          </w:p>
        </w:tc>
        <w:tc>
          <w:tcPr>
            <w:tcW w:w="720" w:type="dxa"/>
          </w:tcPr>
          <w:p w:rsidR="002363FD" w:rsidRPr="00F96DE2" w:rsidRDefault="002363FD" w:rsidP="00657D2B">
            <w:pPr>
              <w:rPr>
                <w:rFonts w:ascii="Arial" w:hAnsi="Arial" w:cs="Arial"/>
                <w:sz w:val="22"/>
                <w:szCs w:val="22"/>
              </w:rPr>
            </w:pPr>
          </w:p>
        </w:tc>
        <w:tc>
          <w:tcPr>
            <w:tcW w:w="4680" w:type="dxa"/>
          </w:tcPr>
          <w:p w:rsidR="002363FD" w:rsidRPr="00755372" w:rsidRDefault="002363FD" w:rsidP="006D6A62">
            <w:pPr>
              <w:rPr>
                <w:sz w:val="22"/>
                <w:szCs w:val="22"/>
                <w:u w:val="single"/>
              </w:rPr>
            </w:pPr>
            <w:r w:rsidRPr="00755372">
              <w:rPr>
                <w:sz w:val="22"/>
                <w:szCs w:val="22"/>
              </w:rPr>
              <w:t xml:space="preserve">Title:  </w:t>
            </w:r>
            <w:r w:rsidR="00945987" w:rsidRPr="00755372">
              <w:rPr>
                <w:sz w:val="22"/>
                <w:szCs w:val="22"/>
                <w:u w:val="single"/>
              </w:rPr>
              <w:t>Executive Officer</w:t>
            </w:r>
            <w:r w:rsidR="006D6A62" w:rsidRPr="00755372">
              <w:rPr>
                <w:sz w:val="22"/>
                <w:szCs w:val="22"/>
                <w:u w:val="single"/>
              </w:rPr>
              <w:tab/>
            </w:r>
            <w:r w:rsidR="006D6A62" w:rsidRPr="00755372">
              <w:rPr>
                <w:sz w:val="22"/>
                <w:szCs w:val="22"/>
                <w:u w:val="single"/>
              </w:rPr>
              <w:tab/>
            </w:r>
            <w:r w:rsidR="006D6A62" w:rsidRPr="00755372">
              <w:rPr>
                <w:sz w:val="22"/>
                <w:szCs w:val="22"/>
                <w:u w:val="single"/>
              </w:rPr>
              <w:tab/>
            </w:r>
          </w:p>
        </w:tc>
      </w:tr>
      <w:tr w:rsidR="002363FD" w:rsidRPr="00F96DE2">
        <w:tc>
          <w:tcPr>
            <w:tcW w:w="4428" w:type="dxa"/>
          </w:tcPr>
          <w:p w:rsidR="002363FD" w:rsidRPr="00755372" w:rsidRDefault="002363FD">
            <w:pPr>
              <w:rPr>
                <w:sz w:val="22"/>
                <w:szCs w:val="22"/>
              </w:rPr>
            </w:pPr>
          </w:p>
        </w:tc>
        <w:tc>
          <w:tcPr>
            <w:tcW w:w="720" w:type="dxa"/>
          </w:tcPr>
          <w:p w:rsidR="002363FD" w:rsidRPr="00F96DE2" w:rsidRDefault="002363FD">
            <w:pPr>
              <w:rPr>
                <w:rFonts w:ascii="Arial" w:hAnsi="Arial" w:cs="Arial"/>
                <w:sz w:val="22"/>
                <w:szCs w:val="22"/>
              </w:rPr>
            </w:pPr>
          </w:p>
        </w:tc>
        <w:tc>
          <w:tcPr>
            <w:tcW w:w="4680" w:type="dxa"/>
          </w:tcPr>
          <w:p w:rsidR="002363FD" w:rsidRPr="00755372" w:rsidRDefault="002363FD">
            <w:pPr>
              <w:rPr>
                <w:sz w:val="22"/>
                <w:szCs w:val="22"/>
              </w:rPr>
            </w:pPr>
          </w:p>
        </w:tc>
      </w:tr>
      <w:tr w:rsidR="00996664" w:rsidRPr="00F96DE2">
        <w:tc>
          <w:tcPr>
            <w:tcW w:w="4428" w:type="dxa"/>
          </w:tcPr>
          <w:p w:rsidR="00996664" w:rsidRPr="00755372" w:rsidRDefault="002363FD">
            <w:pPr>
              <w:rPr>
                <w:sz w:val="22"/>
                <w:szCs w:val="22"/>
                <w:u w:val="single"/>
              </w:rPr>
            </w:pPr>
            <w:r w:rsidRPr="00755372">
              <w:rPr>
                <w:sz w:val="22"/>
                <w:szCs w:val="22"/>
              </w:rPr>
              <w:t xml:space="preserve">Date:  </w:t>
            </w:r>
            <w:r w:rsidRPr="00755372">
              <w:rPr>
                <w:sz w:val="22"/>
                <w:szCs w:val="22"/>
                <w:u w:val="single"/>
              </w:rPr>
              <w:tab/>
            </w:r>
            <w:r w:rsidRPr="00755372">
              <w:rPr>
                <w:sz w:val="22"/>
                <w:szCs w:val="22"/>
                <w:u w:val="single"/>
              </w:rPr>
              <w:tab/>
            </w:r>
            <w:r w:rsidRPr="00755372">
              <w:rPr>
                <w:sz w:val="22"/>
                <w:szCs w:val="22"/>
                <w:u w:val="single"/>
              </w:rPr>
              <w:tab/>
            </w:r>
            <w:r w:rsidRPr="00755372">
              <w:rPr>
                <w:sz w:val="22"/>
                <w:szCs w:val="22"/>
                <w:u w:val="single"/>
              </w:rPr>
              <w:tab/>
            </w:r>
            <w:r w:rsidRPr="00755372">
              <w:rPr>
                <w:sz w:val="22"/>
                <w:szCs w:val="22"/>
                <w:u w:val="single"/>
              </w:rPr>
              <w:tab/>
            </w:r>
          </w:p>
        </w:tc>
        <w:tc>
          <w:tcPr>
            <w:tcW w:w="720" w:type="dxa"/>
          </w:tcPr>
          <w:p w:rsidR="00996664" w:rsidRPr="00F96DE2" w:rsidRDefault="00996664">
            <w:pPr>
              <w:rPr>
                <w:rFonts w:ascii="Arial" w:hAnsi="Arial" w:cs="Arial"/>
                <w:sz w:val="22"/>
                <w:szCs w:val="22"/>
              </w:rPr>
            </w:pPr>
          </w:p>
        </w:tc>
        <w:tc>
          <w:tcPr>
            <w:tcW w:w="4680" w:type="dxa"/>
          </w:tcPr>
          <w:p w:rsidR="00996664" w:rsidRPr="00755372" w:rsidRDefault="002363FD">
            <w:pPr>
              <w:rPr>
                <w:sz w:val="22"/>
                <w:szCs w:val="22"/>
                <w:u w:val="single"/>
              </w:rPr>
            </w:pPr>
            <w:r w:rsidRPr="00755372">
              <w:rPr>
                <w:sz w:val="22"/>
                <w:szCs w:val="22"/>
              </w:rPr>
              <w:t xml:space="preserve">Date:  </w:t>
            </w:r>
            <w:r w:rsidRPr="00755372">
              <w:rPr>
                <w:sz w:val="22"/>
                <w:szCs w:val="22"/>
                <w:u w:val="single"/>
              </w:rPr>
              <w:tab/>
            </w:r>
            <w:r w:rsidRPr="00755372">
              <w:rPr>
                <w:sz w:val="22"/>
                <w:szCs w:val="22"/>
                <w:u w:val="single"/>
              </w:rPr>
              <w:tab/>
            </w:r>
            <w:r w:rsidRPr="00755372">
              <w:rPr>
                <w:sz w:val="22"/>
                <w:szCs w:val="22"/>
                <w:u w:val="single"/>
              </w:rPr>
              <w:tab/>
            </w:r>
            <w:r w:rsidRPr="00755372">
              <w:rPr>
                <w:sz w:val="22"/>
                <w:szCs w:val="22"/>
                <w:u w:val="single"/>
              </w:rPr>
              <w:tab/>
            </w:r>
            <w:r w:rsidRPr="00755372">
              <w:rPr>
                <w:sz w:val="22"/>
                <w:szCs w:val="22"/>
                <w:u w:val="single"/>
              </w:rPr>
              <w:tab/>
            </w:r>
          </w:p>
        </w:tc>
      </w:tr>
    </w:tbl>
    <w:p w:rsidR="00691044" w:rsidRPr="00F96DE2" w:rsidRDefault="00691044" w:rsidP="00673FF5">
      <w:pPr>
        <w:keepNext/>
        <w:tabs>
          <w:tab w:val="left" w:pos="8730"/>
        </w:tabs>
        <w:spacing w:after="240"/>
        <w:rPr>
          <w:rFonts w:ascii="Arial" w:hAnsi="Arial" w:cs="Arial"/>
          <w:sz w:val="22"/>
          <w:szCs w:val="22"/>
        </w:rPr>
      </w:pPr>
      <w:bookmarkStart w:id="6" w:name="_DV_M45"/>
      <w:bookmarkStart w:id="7" w:name="_DV_M46"/>
      <w:bookmarkStart w:id="8" w:name="_DV_M47"/>
      <w:bookmarkStart w:id="9" w:name="_DV_M48"/>
      <w:bookmarkStart w:id="10" w:name="_DV_M49"/>
      <w:bookmarkStart w:id="11" w:name="_DV_M50"/>
      <w:bookmarkStart w:id="12" w:name="_DV_M51"/>
      <w:bookmarkStart w:id="13" w:name="_DV_M52"/>
      <w:bookmarkStart w:id="14" w:name="_DV_M53"/>
      <w:bookmarkStart w:id="15" w:name="_DV_M54"/>
      <w:bookmarkStart w:id="16" w:name="_DV_M55"/>
      <w:bookmarkEnd w:id="6"/>
      <w:bookmarkEnd w:id="7"/>
      <w:bookmarkEnd w:id="8"/>
      <w:bookmarkEnd w:id="9"/>
      <w:bookmarkEnd w:id="10"/>
      <w:bookmarkEnd w:id="11"/>
      <w:bookmarkEnd w:id="12"/>
      <w:bookmarkEnd w:id="13"/>
      <w:bookmarkEnd w:id="14"/>
      <w:bookmarkEnd w:id="15"/>
      <w:bookmarkEnd w:id="16"/>
    </w:p>
    <w:p w:rsidR="000507E3" w:rsidRDefault="000507E3" w:rsidP="0002129A">
      <w:pPr>
        <w:pStyle w:val="ConfirmAppendixHeader"/>
        <w:widowControl/>
        <w:rPr>
          <w:sz w:val="22"/>
          <w:szCs w:val="22"/>
        </w:rPr>
      </w:pPr>
    </w:p>
    <w:p w:rsidR="00952934" w:rsidRDefault="00952934" w:rsidP="0002129A">
      <w:pPr>
        <w:pStyle w:val="ConfirmAppendixHeader"/>
        <w:widowControl/>
        <w:rPr>
          <w:sz w:val="22"/>
          <w:szCs w:val="22"/>
        </w:rPr>
      </w:pPr>
    </w:p>
    <w:p w:rsidR="00952934" w:rsidRDefault="00952934" w:rsidP="0002129A">
      <w:pPr>
        <w:pStyle w:val="ConfirmAppendixHeader"/>
        <w:widowControl/>
        <w:rPr>
          <w:sz w:val="22"/>
          <w:szCs w:val="22"/>
        </w:rPr>
      </w:pPr>
    </w:p>
    <w:p w:rsidR="00952934" w:rsidRDefault="00952934" w:rsidP="0002129A">
      <w:pPr>
        <w:pStyle w:val="ConfirmAppendixHeader"/>
        <w:widowControl/>
        <w:rPr>
          <w:sz w:val="22"/>
          <w:szCs w:val="22"/>
        </w:rPr>
      </w:pPr>
    </w:p>
    <w:p w:rsidR="001A46FF" w:rsidRDefault="001A46FF" w:rsidP="0002129A">
      <w:pPr>
        <w:pStyle w:val="ConfirmAppendixHeader"/>
        <w:widowControl/>
        <w:rPr>
          <w:sz w:val="22"/>
          <w:szCs w:val="22"/>
        </w:rPr>
        <w:sectPr w:rsidR="001A46FF" w:rsidSect="0058493D">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440" w:left="1440" w:header="720" w:footer="720" w:gutter="0"/>
          <w:cols w:space="720"/>
          <w:titlePg/>
          <w:docGrid w:linePitch="360"/>
        </w:sectPr>
      </w:pPr>
    </w:p>
    <w:p w:rsidR="0002129A" w:rsidRPr="00755372" w:rsidRDefault="0002129A" w:rsidP="0002129A">
      <w:pPr>
        <w:pStyle w:val="ConfirmAppendixHeader"/>
        <w:widowControl/>
        <w:rPr>
          <w:rFonts w:ascii="Times New Roman" w:hAnsi="Times New Roman" w:cs="Times New Roman"/>
          <w:sz w:val="22"/>
          <w:szCs w:val="22"/>
        </w:rPr>
      </w:pPr>
      <w:r w:rsidRPr="00755372">
        <w:rPr>
          <w:rFonts w:ascii="Times New Roman" w:hAnsi="Times New Roman" w:cs="Times New Roman"/>
          <w:sz w:val="22"/>
          <w:szCs w:val="22"/>
        </w:rPr>
        <w:t>SCHEDULE A</w:t>
      </w:r>
    </w:p>
    <w:p w:rsidR="0002129A" w:rsidRPr="00755372" w:rsidRDefault="0002129A" w:rsidP="0002129A">
      <w:pPr>
        <w:autoSpaceDE w:val="0"/>
        <w:autoSpaceDN w:val="0"/>
        <w:adjustRightInd w:val="0"/>
        <w:spacing w:after="200" w:line="276" w:lineRule="auto"/>
        <w:ind w:left="360"/>
        <w:jc w:val="center"/>
        <w:rPr>
          <w:b/>
          <w:bCs/>
          <w:caps/>
          <w:color w:val="000000"/>
          <w:sz w:val="22"/>
          <w:szCs w:val="22"/>
        </w:rPr>
      </w:pPr>
    </w:p>
    <w:p w:rsidR="0002129A" w:rsidRPr="00755372" w:rsidRDefault="0002129A" w:rsidP="000507E3">
      <w:pPr>
        <w:autoSpaceDE w:val="0"/>
        <w:autoSpaceDN w:val="0"/>
        <w:adjustRightInd w:val="0"/>
        <w:spacing w:after="200" w:line="276" w:lineRule="auto"/>
        <w:jc w:val="center"/>
        <w:rPr>
          <w:rFonts w:eastAsia="Calibri"/>
          <w:b/>
          <w:color w:val="000000"/>
          <w:sz w:val="22"/>
          <w:szCs w:val="22"/>
        </w:rPr>
      </w:pPr>
      <w:r w:rsidRPr="00755372">
        <w:rPr>
          <w:b/>
          <w:bCs/>
          <w:caps/>
          <w:color w:val="000000"/>
          <w:sz w:val="22"/>
          <w:szCs w:val="22"/>
        </w:rPr>
        <w:t>(PROJECT)</w:t>
      </w:r>
    </w:p>
    <w:p w:rsidR="0002129A" w:rsidRPr="00755372" w:rsidRDefault="0002129A" w:rsidP="00962D8A">
      <w:pPr>
        <w:spacing w:after="200" w:line="276" w:lineRule="auto"/>
        <w:jc w:val="center"/>
        <w:rPr>
          <w:rFonts w:eastAsia="Calibri"/>
          <w:sz w:val="22"/>
          <w:szCs w:val="22"/>
        </w:rPr>
      </w:pPr>
      <w:r w:rsidRPr="00755372">
        <w:rPr>
          <w:rFonts w:eastAsia="Calibri"/>
          <w:sz w:val="22"/>
          <w:szCs w:val="22"/>
        </w:rPr>
        <w:t>Facilities Comprising the Project as of the Effective Date</w:t>
      </w:r>
    </w:p>
    <w:tbl>
      <w:tblPr>
        <w:tblW w:w="10923"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5"/>
        <w:gridCol w:w="2520"/>
        <w:gridCol w:w="1800"/>
        <w:gridCol w:w="1814"/>
        <w:gridCol w:w="1984"/>
      </w:tblGrid>
      <w:tr w:rsidR="0002129A" w:rsidRPr="00755372" w:rsidTr="00D33E83">
        <w:trPr>
          <w:trHeight w:val="480"/>
        </w:trPr>
        <w:tc>
          <w:tcPr>
            <w:tcW w:w="2805" w:type="dxa"/>
            <w:shd w:val="clear" w:color="auto" w:fill="auto"/>
            <w:noWrap/>
            <w:vAlign w:val="center"/>
            <w:hideMark/>
          </w:tcPr>
          <w:p w:rsidR="0002129A" w:rsidRPr="00755372" w:rsidRDefault="0002129A" w:rsidP="00D33E83">
            <w:pPr>
              <w:jc w:val="center"/>
              <w:rPr>
                <w:rFonts w:eastAsia="Calibri"/>
                <w:b/>
                <w:bCs/>
                <w:color w:val="000000"/>
                <w:sz w:val="22"/>
                <w:szCs w:val="22"/>
              </w:rPr>
            </w:pPr>
            <w:r w:rsidRPr="00755372">
              <w:rPr>
                <w:rFonts w:eastAsia="Calibri"/>
                <w:b/>
                <w:bCs/>
                <w:color w:val="000000"/>
                <w:sz w:val="22"/>
                <w:szCs w:val="22"/>
              </w:rPr>
              <w:t>Name of Facility</w:t>
            </w:r>
          </w:p>
        </w:tc>
        <w:tc>
          <w:tcPr>
            <w:tcW w:w="2520" w:type="dxa"/>
            <w:shd w:val="clear" w:color="auto" w:fill="auto"/>
            <w:noWrap/>
            <w:vAlign w:val="center"/>
            <w:hideMark/>
          </w:tcPr>
          <w:p w:rsidR="0002129A" w:rsidRPr="00755372" w:rsidRDefault="0002129A" w:rsidP="00D33E83">
            <w:pPr>
              <w:jc w:val="center"/>
              <w:rPr>
                <w:rFonts w:eastAsia="Calibri"/>
                <w:b/>
                <w:bCs/>
                <w:color w:val="000000"/>
                <w:sz w:val="22"/>
                <w:szCs w:val="22"/>
              </w:rPr>
            </w:pPr>
            <w:r w:rsidRPr="00755372">
              <w:rPr>
                <w:rFonts w:eastAsia="Calibri"/>
                <w:b/>
                <w:bCs/>
                <w:color w:val="000000"/>
                <w:sz w:val="22"/>
                <w:szCs w:val="22"/>
              </w:rPr>
              <w:t>Delivery Point</w:t>
            </w:r>
          </w:p>
        </w:tc>
        <w:tc>
          <w:tcPr>
            <w:tcW w:w="1800" w:type="dxa"/>
            <w:vAlign w:val="center"/>
          </w:tcPr>
          <w:p w:rsidR="0002129A" w:rsidRPr="00755372" w:rsidRDefault="0002129A" w:rsidP="00D33E83">
            <w:pPr>
              <w:jc w:val="center"/>
              <w:rPr>
                <w:rFonts w:eastAsia="Calibri"/>
                <w:b/>
                <w:bCs/>
                <w:color w:val="000000"/>
                <w:sz w:val="22"/>
                <w:szCs w:val="22"/>
              </w:rPr>
            </w:pPr>
            <w:r w:rsidRPr="00755372">
              <w:rPr>
                <w:rFonts w:eastAsia="Calibri"/>
                <w:b/>
                <w:bCs/>
                <w:color w:val="000000"/>
                <w:sz w:val="22"/>
                <w:szCs w:val="22"/>
              </w:rPr>
              <w:t>CEC RPS ID</w:t>
            </w:r>
          </w:p>
        </w:tc>
        <w:tc>
          <w:tcPr>
            <w:tcW w:w="1814" w:type="dxa"/>
            <w:vAlign w:val="center"/>
          </w:tcPr>
          <w:p w:rsidR="0002129A" w:rsidRPr="00755372" w:rsidRDefault="0002129A" w:rsidP="00D33E83">
            <w:pPr>
              <w:jc w:val="center"/>
              <w:rPr>
                <w:rFonts w:eastAsia="Calibri"/>
                <w:b/>
                <w:bCs/>
                <w:color w:val="000000"/>
                <w:sz w:val="22"/>
                <w:szCs w:val="22"/>
              </w:rPr>
            </w:pPr>
            <w:r w:rsidRPr="00755372">
              <w:rPr>
                <w:rFonts w:eastAsia="Calibri"/>
                <w:b/>
                <w:bCs/>
                <w:color w:val="000000"/>
                <w:sz w:val="22"/>
                <w:szCs w:val="22"/>
              </w:rPr>
              <w:t>Delivery Period</w:t>
            </w:r>
          </w:p>
        </w:tc>
        <w:tc>
          <w:tcPr>
            <w:tcW w:w="1984" w:type="dxa"/>
            <w:vAlign w:val="center"/>
          </w:tcPr>
          <w:p w:rsidR="0002129A" w:rsidRPr="00755372" w:rsidRDefault="0002129A" w:rsidP="00D33E83">
            <w:pPr>
              <w:jc w:val="center"/>
              <w:rPr>
                <w:rFonts w:eastAsia="Calibri"/>
                <w:b/>
                <w:bCs/>
                <w:color w:val="000000"/>
                <w:sz w:val="22"/>
                <w:szCs w:val="22"/>
              </w:rPr>
            </w:pPr>
            <w:r w:rsidRPr="00755372">
              <w:rPr>
                <w:rFonts w:eastAsia="Calibri"/>
                <w:b/>
                <w:bCs/>
                <w:color w:val="000000"/>
                <w:sz w:val="22"/>
                <w:szCs w:val="22"/>
              </w:rPr>
              <w:t>Host Balancing Authority</w:t>
            </w:r>
          </w:p>
        </w:tc>
      </w:tr>
      <w:tr w:rsidR="0002129A" w:rsidRPr="00755372" w:rsidTr="00D33E83">
        <w:trPr>
          <w:trHeight w:val="300"/>
        </w:trPr>
        <w:tc>
          <w:tcPr>
            <w:tcW w:w="2805" w:type="dxa"/>
            <w:shd w:val="clear" w:color="auto" w:fill="auto"/>
          </w:tcPr>
          <w:p w:rsidR="0002129A" w:rsidRPr="00755372" w:rsidRDefault="0002129A" w:rsidP="00D33E83">
            <w:pPr>
              <w:rPr>
                <w:rFonts w:eastAsia="Calibri"/>
                <w:color w:val="000000"/>
                <w:sz w:val="22"/>
                <w:szCs w:val="22"/>
              </w:rPr>
            </w:pPr>
          </w:p>
        </w:tc>
        <w:tc>
          <w:tcPr>
            <w:tcW w:w="2520" w:type="dxa"/>
            <w:shd w:val="clear" w:color="auto" w:fill="auto"/>
            <w:noWrap/>
          </w:tcPr>
          <w:p w:rsidR="0002129A" w:rsidRPr="00755372" w:rsidRDefault="0002129A" w:rsidP="00D33E83">
            <w:pPr>
              <w:rPr>
                <w:sz w:val="22"/>
                <w:szCs w:val="22"/>
              </w:rPr>
            </w:pPr>
          </w:p>
        </w:tc>
        <w:tc>
          <w:tcPr>
            <w:tcW w:w="1800" w:type="dxa"/>
          </w:tcPr>
          <w:p w:rsidR="0002129A" w:rsidRPr="00755372" w:rsidRDefault="0002129A" w:rsidP="00D33E83">
            <w:pPr>
              <w:jc w:val="center"/>
              <w:rPr>
                <w:rFonts w:eastAsia="Calibri"/>
                <w:color w:val="000000"/>
                <w:sz w:val="22"/>
                <w:szCs w:val="22"/>
              </w:rPr>
            </w:pPr>
          </w:p>
        </w:tc>
        <w:tc>
          <w:tcPr>
            <w:tcW w:w="1814" w:type="dxa"/>
          </w:tcPr>
          <w:p w:rsidR="0002129A" w:rsidRPr="00755372" w:rsidRDefault="0002129A" w:rsidP="00D33E83">
            <w:pPr>
              <w:jc w:val="center"/>
              <w:rPr>
                <w:rFonts w:eastAsia="Calibri"/>
                <w:color w:val="000000"/>
                <w:sz w:val="22"/>
                <w:szCs w:val="22"/>
              </w:rPr>
            </w:pPr>
          </w:p>
        </w:tc>
        <w:tc>
          <w:tcPr>
            <w:tcW w:w="1984" w:type="dxa"/>
          </w:tcPr>
          <w:p w:rsidR="0002129A" w:rsidRPr="00755372" w:rsidRDefault="0002129A" w:rsidP="00D33E83">
            <w:pPr>
              <w:jc w:val="center"/>
              <w:rPr>
                <w:rFonts w:eastAsia="Calibri"/>
                <w:color w:val="000000"/>
                <w:sz w:val="22"/>
                <w:szCs w:val="22"/>
              </w:rPr>
            </w:pPr>
          </w:p>
        </w:tc>
      </w:tr>
      <w:tr w:rsidR="00495F14" w:rsidRPr="00755372" w:rsidTr="00D33E83">
        <w:trPr>
          <w:trHeight w:val="300"/>
        </w:trPr>
        <w:tc>
          <w:tcPr>
            <w:tcW w:w="2805" w:type="dxa"/>
            <w:shd w:val="clear" w:color="auto" w:fill="auto"/>
          </w:tcPr>
          <w:p w:rsidR="00495F14" w:rsidRPr="00755372" w:rsidRDefault="00495F14" w:rsidP="00D33E83">
            <w:pPr>
              <w:rPr>
                <w:rFonts w:eastAsia="Calibri"/>
                <w:color w:val="000000"/>
                <w:sz w:val="22"/>
                <w:szCs w:val="22"/>
              </w:rPr>
            </w:pPr>
          </w:p>
        </w:tc>
        <w:tc>
          <w:tcPr>
            <w:tcW w:w="2520" w:type="dxa"/>
            <w:shd w:val="clear" w:color="auto" w:fill="auto"/>
            <w:noWrap/>
          </w:tcPr>
          <w:p w:rsidR="00495F14" w:rsidRPr="00755372" w:rsidRDefault="00495F14" w:rsidP="00D33E83">
            <w:pPr>
              <w:rPr>
                <w:sz w:val="22"/>
                <w:szCs w:val="22"/>
              </w:rPr>
            </w:pPr>
          </w:p>
        </w:tc>
        <w:tc>
          <w:tcPr>
            <w:tcW w:w="1800" w:type="dxa"/>
          </w:tcPr>
          <w:p w:rsidR="00495F14" w:rsidRPr="00755372" w:rsidRDefault="00495F14" w:rsidP="00D33E83">
            <w:pPr>
              <w:jc w:val="center"/>
              <w:rPr>
                <w:rFonts w:eastAsia="Calibri"/>
                <w:color w:val="000000"/>
                <w:sz w:val="22"/>
                <w:szCs w:val="22"/>
              </w:rPr>
            </w:pPr>
          </w:p>
        </w:tc>
        <w:tc>
          <w:tcPr>
            <w:tcW w:w="1814" w:type="dxa"/>
          </w:tcPr>
          <w:p w:rsidR="00495F14" w:rsidRPr="00755372" w:rsidRDefault="00495F14" w:rsidP="00D33E83">
            <w:pPr>
              <w:jc w:val="center"/>
              <w:rPr>
                <w:rFonts w:eastAsia="Calibri"/>
                <w:color w:val="000000"/>
                <w:sz w:val="22"/>
                <w:szCs w:val="22"/>
              </w:rPr>
            </w:pPr>
          </w:p>
        </w:tc>
        <w:tc>
          <w:tcPr>
            <w:tcW w:w="1984" w:type="dxa"/>
          </w:tcPr>
          <w:p w:rsidR="00495F14" w:rsidRPr="00755372" w:rsidRDefault="00495F14" w:rsidP="00D33E83">
            <w:pPr>
              <w:jc w:val="center"/>
              <w:rPr>
                <w:rFonts w:eastAsia="Calibri"/>
                <w:color w:val="000000"/>
                <w:sz w:val="22"/>
                <w:szCs w:val="22"/>
              </w:rPr>
            </w:pPr>
          </w:p>
        </w:tc>
      </w:tr>
      <w:tr w:rsidR="00495F14" w:rsidRPr="00755372" w:rsidTr="00D33E83">
        <w:trPr>
          <w:trHeight w:val="300"/>
        </w:trPr>
        <w:tc>
          <w:tcPr>
            <w:tcW w:w="2805" w:type="dxa"/>
            <w:shd w:val="clear" w:color="auto" w:fill="auto"/>
          </w:tcPr>
          <w:p w:rsidR="00495F14" w:rsidRPr="00755372" w:rsidRDefault="00495F14" w:rsidP="00D33E83">
            <w:pPr>
              <w:rPr>
                <w:rFonts w:eastAsia="Calibri"/>
                <w:color w:val="000000"/>
                <w:sz w:val="22"/>
                <w:szCs w:val="22"/>
              </w:rPr>
            </w:pPr>
          </w:p>
        </w:tc>
        <w:tc>
          <w:tcPr>
            <w:tcW w:w="2520" w:type="dxa"/>
            <w:shd w:val="clear" w:color="auto" w:fill="auto"/>
            <w:noWrap/>
          </w:tcPr>
          <w:p w:rsidR="00495F14" w:rsidRPr="00755372" w:rsidRDefault="00495F14" w:rsidP="00D33E83">
            <w:pPr>
              <w:rPr>
                <w:sz w:val="22"/>
                <w:szCs w:val="22"/>
              </w:rPr>
            </w:pPr>
          </w:p>
        </w:tc>
        <w:tc>
          <w:tcPr>
            <w:tcW w:w="1800" w:type="dxa"/>
          </w:tcPr>
          <w:p w:rsidR="00495F14" w:rsidRPr="00755372" w:rsidRDefault="00495F14" w:rsidP="00D33E83">
            <w:pPr>
              <w:jc w:val="center"/>
              <w:rPr>
                <w:rFonts w:eastAsia="Calibri"/>
                <w:color w:val="000000"/>
                <w:sz w:val="22"/>
                <w:szCs w:val="22"/>
              </w:rPr>
            </w:pPr>
          </w:p>
        </w:tc>
        <w:tc>
          <w:tcPr>
            <w:tcW w:w="1814" w:type="dxa"/>
          </w:tcPr>
          <w:p w:rsidR="00495F14" w:rsidRPr="00755372" w:rsidRDefault="00495F14" w:rsidP="00D33E83">
            <w:pPr>
              <w:jc w:val="center"/>
              <w:rPr>
                <w:rFonts w:eastAsia="Calibri"/>
                <w:color w:val="000000"/>
                <w:sz w:val="22"/>
                <w:szCs w:val="22"/>
              </w:rPr>
            </w:pPr>
          </w:p>
        </w:tc>
        <w:tc>
          <w:tcPr>
            <w:tcW w:w="1984" w:type="dxa"/>
          </w:tcPr>
          <w:p w:rsidR="00495F14" w:rsidRPr="00755372" w:rsidRDefault="00495F14" w:rsidP="00D33E83">
            <w:pPr>
              <w:jc w:val="center"/>
              <w:rPr>
                <w:rFonts w:eastAsia="Calibri"/>
                <w:color w:val="000000"/>
                <w:sz w:val="22"/>
                <w:szCs w:val="22"/>
              </w:rPr>
            </w:pPr>
          </w:p>
        </w:tc>
      </w:tr>
      <w:tr w:rsidR="00495F14" w:rsidRPr="00755372" w:rsidTr="00D33E83">
        <w:trPr>
          <w:trHeight w:val="300"/>
        </w:trPr>
        <w:tc>
          <w:tcPr>
            <w:tcW w:w="2805" w:type="dxa"/>
            <w:shd w:val="clear" w:color="auto" w:fill="auto"/>
          </w:tcPr>
          <w:p w:rsidR="00495F14" w:rsidRPr="00755372" w:rsidRDefault="00495F14" w:rsidP="00D33E83">
            <w:pPr>
              <w:rPr>
                <w:rFonts w:eastAsia="Calibri"/>
                <w:color w:val="000000"/>
                <w:sz w:val="22"/>
                <w:szCs w:val="22"/>
              </w:rPr>
            </w:pPr>
          </w:p>
        </w:tc>
        <w:tc>
          <w:tcPr>
            <w:tcW w:w="2520" w:type="dxa"/>
            <w:shd w:val="clear" w:color="auto" w:fill="auto"/>
            <w:noWrap/>
          </w:tcPr>
          <w:p w:rsidR="00495F14" w:rsidRPr="00755372" w:rsidRDefault="00495F14" w:rsidP="00D33E83">
            <w:pPr>
              <w:rPr>
                <w:sz w:val="22"/>
                <w:szCs w:val="22"/>
              </w:rPr>
            </w:pPr>
          </w:p>
        </w:tc>
        <w:tc>
          <w:tcPr>
            <w:tcW w:w="1800" w:type="dxa"/>
          </w:tcPr>
          <w:p w:rsidR="00495F14" w:rsidRPr="00755372" w:rsidRDefault="00495F14" w:rsidP="00D33E83">
            <w:pPr>
              <w:jc w:val="center"/>
              <w:rPr>
                <w:rFonts w:eastAsia="Calibri"/>
                <w:color w:val="000000"/>
                <w:sz w:val="22"/>
                <w:szCs w:val="22"/>
              </w:rPr>
            </w:pPr>
          </w:p>
        </w:tc>
        <w:tc>
          <w:tcPr>
            <w:tcW w:w="1814" w:type="dxa"/>
          </w:tcPr>
          <w:p w:rsidR="00495F14" w:rsidRPr="00755372" w:rsidRDefault="00495F14" w:rsidP="00D33E83">
            <w:pPr>
              <w:jc w:val="center"/>
              <w:rPr>
                <w:rFonts w:eastAsia="Calibri"/>
                <w:color w:val="000000"/>
                <w:sz w:val="22"/>
                <w:szCs w:val="22"/>
              </w:rPr>
            </w:pPr>
          </w:p>
        </w:tc>
        <w:tc>
          <w:tcPr>
            <w:tcW w:w="1984" w:type="dxa"/>
          </w:tcPr>
          <w:p w:rsidR="00495F14" w:rsidRPr="00755372" w:rsidRDefault="00495F14" w:rsidP="00D33E83">
            <w:pPr>
              <w:jc w:val="center"/>
              <w:rPr>
                <w:rFonts w:eastAsia="Calibri"/>
                <w:color w:val="000000"/>
                <w:sz w:val="22"/>
                <w:szCs w:val="22"/>
              </w:rPr>
            </w:pPr>
          </w:p>
        </w:tc>
      </w:tr>
      <w:tr w:rsidR="00495F14" w:rsidRPr="00755372" w:rsidTr="00D33E83">
        <w:trPr>
          <w:trHeight w:val="300"/>
        </w:trPr>
        <w:tc>
          <w:tcPr>
            <w:tcW w:w="2805" w:type="dxa"/>
            <w:shd w:val="clear" w:color="auto" w:fill="auto"/>
          </w:tcPr>
          <w:p w:rsidR="00495F14" w:rsidRPr="00755372" w:rsidRDefault="00495F14" w:rsidP="00D33E83">
            <w:pPr>
              <w:rPr>
                <w:rFonts w:eastAsia="Calibri"/>
                <w:color w:val="000000"/>
                <w:sz w:val="22"/>
                <w:szCs w:val="22"/>
              </w:rPr>
            </w:pPr>
          </w:p>
        </w:tc>
        <w:tc>
          <w:tcPr>
            <w:tcW w:w="2520" w:type="dxa"/>
            <w:shd w:val="clear" w:color="auto" w:fill="auto"/>
            <w:noWrap/>
          </w:tcPr>
          <w:p w:rsidR="00495F14" w:rsidRPr="00755372" w:rsidRDefault="00495F14" w:rsidP="00D33E83">
            <w:pPr>
              <w:rPr>
                <w:sz w:val="22"/>
                <w:szCs w:val="22"/>
              </w:rPr>
            </w:pPr>
          </w:p>
        </w:tc>
        <w:tc>
          <w:tcPr>
            <w:tcW w:w="1800" w:type="dxa"/>
          </w:tcPr>
          <w:p w:rsidR="00495F14" w:rsidRPr="00755372" w:rsidRDefault="00495F14" w:rsidP="00D33E83">
            <w:pPr>
              <w:jc w:val="center"/>
              <w:rPr>
                <w:rFonts w:eastAsia="Calibri"/>
                <w:color w:val="000000"/>
                <w:sz w:val="22"/>
                <w:szCs w:val="22"/>
              </w:rPr>
            </w:pPr>
          </w:p>
        </w:tc>
        <w:tc>
          <w:tcPr>
            <w:tcW w:w="1814" w:type="dxa"/>
          </w:tcPr>
          <w:p w:rsidR="00495F14" w:rsidRPr="00755372" w:rsidRDefault="00495F14" w:rsidP="00D33E83">
            <w:pPr>
              <w:jc w:val="center"/>
              <w:rPr>
                <w:rFonts w:eastAsia="Calibri"/>
                <w:color w:val="000000"/>
                <w:sz w:val="22"/>
                <w:szCs w:val="22"/>
              </w:rPr>
            </w:pPr>
          </w:p>
        </w:tc>
        <w:tc>
          <w:tcPr>
            <w:tcW w:w="1984" w:type="dxa"/>
          </w:tcPr>
          <w:p w:rsidR="00495F14" w:rsidRPr="00755372" w:rsidRDefault="00495F14" w:rsidP="00D33E83">
            <w:pPr>
              <w:jc w:val="center"/>
              <w:rPr>
                <w:rFonts w:eastAsia="Calibri"/>
                <w:color w:val="000000"/>
                <w:sz w:val="22"/>
                <w:szCs w:val="22"/>
              </w:rPr>
            </w:pPr>
          </w:p>
        </w:tc>
      </w:tr>
      <w:tr w:rsidR="00495F14" w:rsidRPr="00755372" w:rsidTr="00D33E83">
        <w:trPr>
          <w:trHeight w:val="300"/>
        </w:trPr>
        <w:tc>
          <w:tcPr>
            <w:tcW w:w="2805" w:type="dxa"/>
            <w:shd w:val="clear" w:color="auto" w:fill="auto"/>
          </w:tcPr>
          <w:p w:rsidR="00495F14" w:rsidRPr="00755372" w:rsidRDefault="00495F14" w:rsidP="00D33E83">
            <w:pPr>
              <w:rPr>
                <w:rFonts w:eastAsia="Calibri"/>
                <w:color w:val="000000"/>
                <w:sz w:val="22"/>
                <w:szCs w:val="22"/>
              </w:rPr>
            </w:pPr>
          </w:p>
        </w:tc>
        <w:tc>
          <w:tcPr>
            <w:tcW w:w="2520" w:type="dxa"/>
            <w:shd w:val="clear" w:color="auto" w:fill="auto"/>
            <w:noWrap/>
          </w:tcPr>
          <w:p w:rsidR="00495F14" w:rsidRPr="00755372" w:rsidRDefault="00495F14" w:rsidP="00D33E83">
            <w:pPr>
              <w:rPr>
                <w:sz w:val="22"/>
                <w:szCs w:val="22"/>
              </w:rPr>
            </w:pPr>
          </w:p>
        </w:tc>
        <w:tc>
          <w:tcPr>
            <w:tcW w:w="1800" w:type="dxa"/>
          </w:tcPr>
          <w:p w:rsidR="00495F14" w:rsidRPr="00755372" w:rsidRDefault="00495F14" w:rsidP="00D33E83">
            <w:pPr>
              <w:jc w:val="center"/>
              <w:rPr>
                <w:rFonts w:eastAsia="Calibri"/>
                <w:color w:val="000000"/>
                <w:sz w:val="22"/>
                <w:szCs w:val="22"/>
              </w:rPr>
            </w:pPr>
          </w:p>
        </w:tc>
        <w:tc>
          <w:tcPr>
            <w:tcW w:w="1814" w:type="dxa"/>
          </w:tcPr>
          <w:p w:rsidR="00495F14" w:rsidRPr="00755372" w:rsidRDefault="00495F14" w:rsidP="00D33E83">
            <w:pPr>
              <w:jc w:val="center"/>
              <w:rPr>
                <w:rFonts w:eastAsia="Calibri"/>
                <w:color w:val="000000"/>
                <w:sz w:val="22"/>
                <w:szCs w:val="22"/>
              </w:rPr>
            </w:pPr>
          </w:p>
        </w:tc>
        <w:tc>
          <w:tcPr>
            <w:tcW w:w="1984" w:type="dxa"/>
          </w:tcPr>
          <w:p w:rsidR="00495F14" w:rsidRPr="00755372" w:rsidRDefault="00495F14" w:rsidP="00D33E83">
            <w:pPr>
              <w:jc w:val="center"/>
              <w:rPr>
                <w:rFonts w:eastAsia="Calibri"/>
                <w:color w:val="000000"/>
                <w:sz w:val="22"/>
                <w:szCs w:val="22"/>
              </w:rPr>
            </w:pPr>
          </w:p>
        </w:tc>
      </w:tr>
      <w:tr w:rsidR="00495F14" w:rsidRPr="00755372" w:rsidTr="00D33E83">
        <w:trPr>
          <w:trHeight w:val="300"/>
        </w:trPr>
        <w:tc>
          <w:tcPr>
            <w:tcW w:w="2805" w:type="dxa"/>
            <w:shd w:val="clear" w:color="auto" w:fill="auto"/>
          </w:tcPr>
          <w:p w:rsidR="00495F14" w:rsidRPr="00755372" w:rsidRDefault="00495F14" w:rsidP="00D33E83">
            <w:pPr>
              <w:rPr>
                <w:rFonts w:eastAsia="Calibri"/>
                <w:color w:val="000000"/>
                <w:sz w:val="22"/>
                <w:szCs w:val="22"/>
              </w:rPr>
            </w:pPr>
          </w:p>
        </w:tc>
        <w:tc>
          <w:tcPr>
            <w:tcW w:w="2520" w:type="dxa"/>
            <w:shd w:val="clear" w:color="auto" w:fill="auto"/>
            <w:noWrap/>
          </w:tcPr>
          <w:p w:rsidR="00495F14" w:rsidRPr="00755372" w:rsidRDefault="00495F14" w:rsidP="00D33E83">
            <w:pPr>
              <w:rPr>
                <w:sz w:val="22"/>
                <w:szCs w:val="22"/>
              </w:rPr>
            </w:pPr>
          </w:p>
        </w:tc>
        <w:tc>
          <w:tcPr>
            <w:tcW w:w="1800" w:type="dxa"/>
          </w:tcPr>
          <w:p w:rsidR="00495F14" w:rsidRPr="00755372" w:rsidRDefault="00495F14" w:rsidP="00D33E83">
            <w:pPr>
              <w:jc w:val="center"/>
              <w:rPr>
                <w:rFonts w:eastAsia="Calibri"/>
                <w:color w:val="000000"/>
                <w:sz w:val="22"/>
                <w:szCs w:val="22"/>
              </w:rPr>
            </w:pPr>
          </w:p>
        </w:tc>
        <w:tc>
          <w:tcPr>
            <w:tcW w:w="1814" w:type="dxa"/>
          </w:tcPr>
          <w:p w:rsidR="00495F14" w:rsidRPr="00755372" w:rsidRDefault="00495F14" w:rsidP="00D33E83">
            <w:pPr>
              <w:jc w:val="center"/>
              <w:rPr>
                <w:rFonts w:eastAsia="Calibri"/>
                <w:color w:val="000000"/>
                <w:sz w:val="22"/>
                <w:szCs w:val="22"/>
              </w:rPr>
            </w:pPr>
          </w:p>
        </w:tc>
        <w:tc>
          <w:tcPr>
            <w:tcW w:w="1984" w:type="dxa"/>
          </w:tcPr>
          <w:p w:rsidR="00495F14" w:rsidRPr="00755372" w:rsidRDefault="00495F14" w:rsidP="00D33E83">
            <w:pPr>
              <w:jc w:val="center"/>
              <w:rPr>
                <w:rFonts w:eastAsia="Calibri"/>
                <w:color w:val="000000"/>
                <w:sz w:val="22"/>
                <w:szCs w:val="22"/>
              </w:rPr>
            </w:pPr>
          </w:p>
        </w:tc>
      </w:tr>
      <w:tr w:rsidR="00495F14" w:rsidRPr="00755372" w:rsidTr="00D33E83">
        <w:trPr>
          <w:trHeight w:val="300"/>
        </w:trPr>
        <w:tc>
          <w:tcPr>
            <w:tcW w:w="2805" w:type="dxa"/>
            <w:shd w:val="clear" w:color="auto" w:fill="auto"/>
          </w:tcPr>
          <w:p w:rsidR="00495F14" w:rsidRPr="00755372" w:rsidRDefault="00495F14" w:rsidP="00D33E83">
            <w:pPr>
              <w:rPr>
                <w:rFonts w:eastAsia="Calibri"/>
                <w:color w:val="000000"/>
                <w:sz w:val="22"/>
                <w:szCs w:val="22"/>
              </w:rPr>
            </w:pPr>
          </w:p>
        </w:tc>
        <w:tc>
          <w:tcPr>
            <w:tcW w:w="2520" w:type="dxa"/>
            <w:shd w:val="clear" w:color="auto" w:fill="auto"/>
            <w:noWrap/>
          </w:tcPr>
          <w:p w:rsidR="00495F14" w:rsidRPr="00755372" w:rsidRDefault="00495F14" w:rsidP="00D33E83">
            <w:pPr>
              <w:rPr>
                <w:sz w:val="22"/>
                <w:szCs w:val="22"/>
              </w:rPr>
            </w:pPr>
          </w:p>
        </w:tc>
        <w:tc>
          <w:tcPr>
            <w:tcW w:w="1800" w:type="dxa"/>
          </w:tcPr>
          <w:p w:rsidR="00495F14" w:rsidRPr="00755372" w:rsidRDefault="00495F14" w:rsidP="00D33E83">
            <w:pPr>
              <w:jc w:val="center"/>
              <w:rPr>
                <w:rFonts w:eastAsia="Calibri"/>
                <w:color w:val="000000"/>
                <w:sz w:val="22"/>
                <w:szCs w:val="22"/>
              </w:rPr>
            </w:pPr>
          </w:p>
        </w:tc>
        <w:tc>
          <w:tcPr>
            <w:tcW w:w="1814" w:type="dxa"/>
          </w:tcPr>
          <w:p w:rsidR="00495F14" w:rsidRPr="00755372" w:rsidRDefault="00495F14" w:rsidP="00D33E83">
            <w:pPr>
              <w:jc w:val="center"/>
              <w:rPr>
                <w:rFonts w:eastAsia="Calibri"/>
                <w:color w:val="000000"/>
                <w:sz w:val="22"/>
                <w:szCs w:val="22"/>
              </w:rPr>
            </w:pPr>
          </w:p>
        </w:tc>
        <w:tc>
          <w:tcPr>
            <w:tcW w:w="1984" w:type="dxa"/>
          </w:tcPr>
          <w:p w:rsidR="00495F14" w:rsidRPr="00755372" w:rsidRDefault="00495F14" w:rsidP="00D33E83">
            <w:pPr>
              <w:jc w:val="center"/>
              <w:rPr>
                <w:rFonts w:eastAsia="Calibri"/>
                <w:color w:val="000000"/>
                <w:sz w:val="22"/>
                <w:szCs w:val="22"/>
              </w:rPr>
            </w:pPr>
          </w:p>
        </w:tc>
      </w:tr>
      <w:tr w:rsidR="00495F14" w:rsidRPr="00755372" w:rsidTr="00D33E83">
        <w:trPr>
          <w:trHeight w:val="300"/>
        </w:trPr>
        <w:tc>
          <w:tcPr>
            <w:tcW w:w="2805" w:type="dxa"/>
            <w:shd w:val="clear" w:color="auto" w:fill="auto"/>
          </w:tcPr>
          <w:p w:rsidR="00495F14" w:rsidRPr="00755372" w:rsidRDefault="00495F14" w:rsidP="00D33E83">
            <w:pPr>
              <w:rPr>
                <w:rFonts w:eastAsia="Calibri"/>
                <w:color w:val="000000"/>
                <w:sz w:val="22"/>
                <w:szCs w:val="22"/>
              </w:rPr>
            </w:pPr>
          </w:p>
        </w:tc>
        <w:tc>
          <w:tcPr>
            <w:tcW w:w="2520" w:type="dxa"/>
            <w:shd w:val="clear" w:color="auto" w:fill="auto"/>
            <w:noWrap/>
          </w:tcPr>
          <w:p w:rsidR="00495F14" w:rsidRPr="00755372" w:rsidRDefault="00495F14" w:rsidP="00D33E83">
            <w:pPr>
              <w:rPr>
                <w:sz w:val="22"/>
                <w:szCs w:val="22"/>
              </w:rPr>
            </w:pPr>
          </w:p>
        </w:tc>
        <w:tc>
          <w:tcPr>
            <w:tcW w:w="1800" w:type="dxa"/>
          </w:tcPr>
          <w:p w:rsidR="00495F14" w:rsidRPr="00755372" w:rsidRDefault="00495F14" w:rsidP="00D33E83">
            <w:pPr>
              <w:jc w:val="center"/>
              <w:rPr>
                <w:rFonts w:eastAsia="Calibri"/>
                <w:color w:val="000000"/>
                <w:sz w:val="22"/>
                <w:szCs w:val="22"/>
              </w:rPr>
            </w:pPr>
          </w:p>
        </w:tc>
        <w:tc>
          <w:tcPr>
            <w:tcW w:w="1814" w:type="dxa"/>
          </w:tcPr>
          <w:p w:rsidR="00495F14" w:rsidRPr="00755372" w:rsidRDefault="00495F14" w:rsidP="00D33E83">
            <w:pPr>
              <w:jc w:val="center"/>
              <w:rPr>
                <w:rFonts w:eastAsia="Calibri"/>
                <w:color w:val="000000"/>
                <w:sz w:val="22"/>
                <w:szCs w:val="22"/>
              </w:rPr>
            </w:pPr>
          </w:p>
        </w:tc>
        <w:tc>
          <w:tcPr>
            <w:tcW w:w="1984" w:type="dxa"/>
          </w:tcPr>
          <w:p w:rsidR="00495F14" w:rsidRPr="00755372" w:rsidRDefault="00495F14" w:rsidP="00D33E83">
            <w:pPr>
              <w:jc w:val="center"/>
              <w:rPr>
                <w:rFonts w:eastAsia="Calibri"/>
                <w:color w:val="000000"/>
                <w:sz w:val="22"/>
                <w:szCs w:val="22"/>
              </w:rPr>
            </w:pPr>
          </w:p>
        </w:tc>
      </w:tr>
      <w:tr w:rsidR="00495F14" w:rsidRPr="00755372" w:rsidTr="00D33E83">
        <w:trPr>
          <w:trHeight w:val="300"/>
        </w:trPr>
        <w:tc>
          <w:tcPr>
            <w:tcW w:w="2805" w:type="dxa"/>
            <w:shd w:val="clear" w:color="auto" w:fill="auto"/>
          </w:tcPr>
          <w:p w:rsidR="00495F14" w:rsidRPr="00755372" w:rsidRDefault="00495F14" w:rsidP="00D33E83">
            <w:pPr>
              <w:rPr>
                <w:rFonts w:eastAsia="Calibri"/>
                <w:color w:val="000000"/>
                <w:sz w:val="22"/>
                <w:szCs w:val="22"/>
              </w:rPr>
            </w:pPr>
          </w:p>
        </w:tc>
        <w:tc>
          <w:tcPr>
            <w:tcW w:w="2520" w:type="dxa"/>
            <w:shd w:val="clear" w:color="auto" w:fill="auto"/>
            <w:noWrap/>
          </w:tcPr>
          <w:p w:rsidR="00495F14" w:rsidRPr="00755372" w:rsidRDefault="00495F14" w:rsidP="00D33E83">
            <w:pPr>
              <w:rPr>
                <w:sz w:val="22"/>
                <w:szCs w:val="22"/>
              </w:rPr>
            </w:pPr>
          </w:p>
        </w:tc>
        <w:tc>
          <w:tcPr>
            <w:tcW w:w="1800" w:type="dxa"/>
          </w:tcPr>
          <w:p w:rsidR="00495F14" w:rsidRPr="00755372" w:rsidRDefault="00495F14" w:rsidP="00D33E83">
            <w:pPr>
              <w:jc w:val="center"/>
              <w:rPr>
                <w:rFonts w:eastAsia="Calibri"/>
                <w:color w:val="000000"/>
                <w:sz w:val="22"/>
                <w:szCs w:val="22"/>
              </w:rPr>
            </w:pPr>
          </w:p>
        </w:tc>
        <w:tc>
          <w:tcPr>
            <w:tcW w:w="1814" w:type="dxa"/>
          </w:tcPr>
          <w:p w:rsidR="00495F14" w:rsidRPr="00755372" w:rsidRDefault="00495F14" w:rsidP="00D33E83">
            <w:pPr>
              <w:jc w:val="center"/>
              <w:rPr>
                <w:rFonts w:eastAsia="Calibri"/>
                <w:color w:val="000000"/>
                <w:sz w:val="22"/>
                <w:szCs w:val="22"/>
              </w:rPr>
            </w:pPr>
          </w:p>
        </w:tc>
        <w:tc>
          <w:tcPr>
            <w:tcW w:w="1984" w:type="dxa"/>
          </w:tcPr>
          <w:p w:rsidR="00495F14" w:rsidRPr="00755372" w:rsidRDefault="00495F14" w:rsidP="00D33E83">
            <w:pPr>
              <w:jc w:val="center"/>
              <w:rPr>
                <w:rFonts w:eastAsia="Calibri"/>
                <w:color w:val="000000"/>
                <w:sz w:val="22"/>
                <w:szCs w:val="22"/>
              </w:rPr>
            </w:pPr>
          </w:p>
        </w:tc>
      </w:tr>
      <w:tr w:rsidR="00495F14" w:rsidRPr="00755372" w:rsidTr="00D33E83">
        <w:trPr>
          <w:trHeight w:val="300"/>
        </w:trPr>
        <w:tc>
          <w:tcPr>
            <w:tcW w:w="2805" w:type="dxa"/>
            <w:shd w:val="clear" w:color="auto" w:fill="auto"/>
          </w:tcPr>
          <w:p w:rsidR="00495F14" w:rsidRPr="00755372" w:rsidRDefault="00495F14" w:rsidP="00D33E83">
            <w:pPr>
              <w:rPr>
                <w:rFonts w:eastAsia="Calibri"/>
                <w:color w:val="000000"/>
                <w:sz w:val="22"/>
                <w:szCs w:val="22"/>
              </w:rPr>
            </w:pPr>
          </w:p>
        </w:tc>
        <w:tc>
          <w:tcPr>
            <w:tcW w:w="2520" w:type="dxa"/>
            <w:shd w:val="clear" w:color="auto" w:fill="auto"/>
            <w:noWrap/>
          </w:tcPr>
          <w:p w:rsidR="00495F14" w:rsidRPr="00755372" w:rsidRDefault="00495F14" w:rsidP="00D33E83">
            <w:pPr>
              <w:rPr>
                <w:sz w:val="22"/>
                <w:szCs w:val="22"/>
              </w:rPr>
            </w:pPr>
          </w:p>
        </w:tc>
        <w:tc>
          <w:tcPr>
            <w:tcW w:w="1800" w:type="dxa"/>
          </w:tcPr>
          <w:p w:rsidR="00495F14" w:rsidRPr="00755372" w:rsidRDefault="00495F14" w:rsidP="00D33E83">
            <w:pPr>
              <w:jc w:val="center"/>
              <w:rPr>
                <w:rFonts w:eastAsia="Calibri"/>
                <w:color w:val="000000"/>
                <w:sz w:val="22"/>
                <w:szCs w:val="22"/>
              </w:rPr>
            </w:pPr>
          </w:p>
        </w:tc>
        <w:tc>
          <w:tcPr>
            <w:tcW w:w="1814" w:type="dxa"/>
          </w:tcPr>
          <w:p w:rsidR="00495F14" w:rsidRPr="00755372" w:rsidRDefault="00495F14" w:rsidP="00D33E83">
            <w:pPr>
              <w:jc w:val="center"/>
              <w:rPr>
                <w:rFonts w:eastAsia="Calibri"/>
                <w:color w:val="000000"/>
                <w:sz w:val="22"/>
                <w:szCs w:val="22"/>
              </w:rPr>
            </w:pPr>
          </w:p>
        </w:tc>
        <w:tc>
          <w:tcPr>
            <w:tcW w:w="1984" w:type="dxa"/>
          </w:tcPr>
          <w:p w:rsidR="00495F14" w:rsidRPr="00755372" w:rsidRDefault="00495F14" w:rsidP="00D33E83">
            <w:pPr>
              <w:jc w:val="center"/>
              <w:rPr>
                <w:rFonts w:eastAsia="Calibri"/>
                <w:color w:val="000000"/>
                <w:sz w:val="22"/>
                <w:szCs w:val="22"/>
              </w:rPr>
            </w:pPr>
          </w:p>
        </w:tc>
      </w:tr>
      <w:tr w:rsidR="00495F14" w:rsidRPr="00755372" w:rsidTr="00D33E83">
        <w:trPr>
          <w:trHeight w:val="300"/>
        </w:trPr>
        <w:tc>
          <w:tcPr>
            <w:tcW w:w="2805" w:type="dxa"/>
            <w:shd w:val="clear" w:color="auto" w:fill="auto"/>
          </w:tcPr>
          <w:p w:rsidR="00495F14" w:rsidRPr="00755372" w:rsidRDefault="00495F14" w:rsidP="00D33E83">
            <w:pPr>
              <w:rPr>
                <w:rFonts w:eastAsia="Calibri"/>
                <w:color w:val="000000"/>
                <w:sz w:val="22"/>
                <w:szCs w:val="22"/>
              </w:rPr>
            </w:pPr>
          </w:p>
        </w:tc>
        <w:tc>
          <w:tcPr>
            <w:tcW w:w="2520" w:type="dxa"/>
            <w:shd w:val="clear" w:color="auto" w:fill="auto"/>
            <w:noWrap/>
          </w:tcPr>
          <w:p w:rsidR="00495F14" w:rsidRPr="00755372" w:rsidRDefault="00495F14" w:rsidP="00D33E83">
            <w:pPr>
              <w:rPr>
                <w:sz w:val="22"/>
                <w:szCs w:val="22"/>
              </w:rPr>
            </w:pPr>
          </w:p>
        </w:tc>
        <w:tc>
          <w:tcPr>
            <w:tcW w:w="1800" w:type="dxa"/>
          </w:tcPr>
          <w:p w:rsidR="00495F14" w:rsidRPr="00755372" w:rsidRDefault="00495F14" w:rsidP="00D33E83">
            <w:pPr>
              <w:jc w:val="center"/>
              <w:rPr>
                <w:rFonts w:eastAsia="Calibri"/>
                <w:color w:val="000000"/>
                <w:sz w:val="22"/>
                <w:szCs w:val="22"/>
              </w:rPr>
            </w:pPr>
          </w:p>
        </w:tc>
        <w:tc>
          <w:tcPr>
            <w:tcW w:w="1814" w:type="dxa"/>
          </w:tcPr>
          <w:p w:rsidR="00495F14" w:rsidRPr="00755372" w:rsidRDefault="00495F14" w:rsidP="00D33E83">
            <w:pPr>
              <w:jc w:val="center"/>
              <w:rPr>
                <w:rFonts w:eastAsia="Calibri"/>
                <w:color w:val="000000"/>
                <w:sz w:val="22"/>
                <w:szCs w:val="22"/>
              </w:rPr>
            </w:pPr>
          </w:p>
        </w:tc>
        <w:tc>
          <w:tcPr>
            <w:tcW w:w="1984" w:type="dxa"/>
          </w:tcPr>
          <w:p w:rsidR="00495F14" w:rsidRPr="00755372" w:rsidRDefault="00495F14" w:rsidP="00D33E83">
            <w:pPr>
              <w:jc w:val="center"/>
              <w:rPr>
                <w:rFonts w:eastAsia="Calibri"/>
                <w:color w:val="000000"/>
                <w:sz w:val="22"/>
                <w:szCs w:val="22"/>
              </w:rPr>
            </w:pPr>
          </w:p>
        </w:tc>
      </w:tr>
      <w:tr w:rsidR="00495F14" w:rsidRPr="00755372" w:rsidTr="00D33E83">
        <w:trPr>
          <w:trHeight w:val="300"/>
        </w:trPr>
        <w:tc>
          <w:tcPr>
            <w:tcW w:w="2805" w:type="dxa"/>
            <w:shd w:val="clear" w:color="auto" w:fill="auto"/>
          </w:tcPr>
          <w:p w:rsidR="00495F14" w:rsidRPr="00755372" w:rsidRDefault="00495F14" w:rsidP="00D33E83">
            <w:pPr>
              <w:rPr>
                <w:rFonts w:eastAsia="Calibri"/>
                <w:color w:val="000000"/>
                <w:sz w:val="22"/>
                <w:szCs w:val="22"/>
              </w:rPr>
            </w:pPr>
          </w:p>
        </w:tc>
        <w:tc>
          <w:tcPr>
            <w:tcW w:w="2520" w:type="dxa"/>
            <w:shd w:val="clear" w:color="auto" w:fill="auto"/>
            <w:noWrap/>
          </w:tcPr>
          <w:p w:rsidR="00495F14" w:rsidRPr="00755372" w:rsidRDefault="00495F14" w:rsidP="00D33E83">
            <w:pPr>
              <w:rPr>
                <w:sz w:val="22"/>
                <w:szCs w:val="22"/>
              </w:rPr>
            </w:pPr>
          </w:p>
        </w:tc>
        <w:tc>
          <w:tcPr>
            <w:tcW w:w="1800" w:type="dxa"/>
          </w:tcPr>
          <w:p w:rsidR="00495F14" w:rsidRPr="00755372" w:rsidRDefault="00495F14" w:rsidP="00D33E83">
            <w:pPr>
              <w:jc w:val="center"/>
              <w:rPr>
                <w:rFonts w:eastAsia="Calibri"/>
                <w:color w:val="000000"/>
                <w:sz w:val="22"/>
                <w:szCs w:val="22"/>
              </w:rPr>
            </w:pPr>
          </w:p>
        </w:tc>
        <w:tc>
          <w:tcPr>
            <w:tcW w:w="1814" w:type="dxa"/>
          </w:tcPr>
          <w:p w:rsidR="00495F14" w:rsidRPr="00755372" w:rsidRDefault="00495F14" w:rsidP="00D33E83">
            <w:pPr>
              <w:jc w:val="center"/>
              <w:rPr>
                <w:rFonts w:eastAsia="Calibri"/>
                <w:color w:val="000000"/>
                <w:sz w:val="22"/>
                <w:szCs w:val="22"/>
              </w:rPr>
            </w:pPr>
          </w:p>
        </w:tc>
        <w:tc>
          <w:tcPr>
            <w:tcW w:w="1984" w:type="dxa"/>
          </w:tcPr>
          <w:p w:rsidR="00495F14" w:rsidRPr="00755372" w:rsidRDefault="00495F14" w:rsidP="00D33E83">
            <w:pPr>
              <w:jc w:val="center"/>
              <w:rPr>
                <w:rFonts w:eastAsia="Calibri"/>
                <w:color w:val="000000"/>
                <w:sz w:val="22"/>
                <w:szCs w:val="22"/>
              </w:rPr>
            </w:pPr>
          </w:p>
        </w:tc>
      </w:tr>
      <w:tr w:rsidR="00495F14" w:rsidRPr="00755372" w:rsidTr="00495F14">
        <w:trPr>
          <w:trHeight w:val="300"/>
        </w:trPr>
        <w:tc>
          <w:tcPr>
            <w:tcW w:w="2805" w:type="dxa"/>
            <w:shd w:val="clear" w:color="auto" w:fill="auto"/>
          </w:tcPr>
          <w:p w:rsidR="00495F14" w:rsidRPr="00755372" w:rsidRDefault="00495F14" w:rsidP="00D33E83">
            <w:pPr>
              <w:rPr>
                <w:rFonts w:eastAsia="Calibri"/>
                <w:color w:val="000000"/>
                <w:sz w:val="22"/>
                <w:szCs w:val="22"/>
              </w:rPr>
            </w:pPr>
          </w:p>
        </w:tc>
        <w:tc>
          <w:tcPr>
            <w:tcW w:w="2520" w:type="dxa"/>
            <w:shd w:val="clear" w:color="auto" w:fill="auto"/>
            <w:noWrap/>
          </w:tcPr>
          <w:p w:rsidR="00495F14" w:rsidRPr="00755372" w:rsidRDefault="00495F14" w:rsidP="00D33E83">
            <w:pPr>
              <w:rPr>
                <w:sz w:val="22"/>
                <w:szCs w:val="22"/>
              </w:rPr>
            </w:pPr>
          </w:p>
        </w:tc>
        <w:tc>
          <w:tcPr>
            <w:tcW w:w="1800" w:type="dxa"/>
          </w:tcPr>
          <w:p w:rsidR="00495F14" w:rsidRPr="00755372" w:rsidRDefault="00495F14" w:rsidP="00D33E83">
            <w:pPr>
              <w:jc w:val="center"/>
              <w:rPr>
                <w:bCs/>
                <w:color w:val="000000"/>
                <w:sz w:val="22"/>
                <w:szCs w:val="22"/>
              </w:rPr>
            </w:pPr>
          </w:p>
        </w:tc>
        <w:tc>
          <w:tcPr>
            <w:tcW w:w="1814" w:type="dxa"/>
          </w:tcPr>
          <w:p w:rsidR="00495F14" w:rsidRPr="00755372" w:rsidRDefault="00495F14" w:rsidP="00D33E83">
            <w:pPr>
              <w:jc w:val="center"/>
              <w:rPr>
                <w:rFonts w:eastAsia="Calibri"/>
                <w:color w:val="000000"/>
                <w:sz w:val="22"/>
                <w:szCs w:val="22"/>
              </w:rPr>
            </w:pPr>
          </w:p>
        </w:tc>
        <w:tc>
          <w:tcPr>
            <w:tcW w:w="1984" w:type="dxa"/>
          </w:tcPr>
          <w:p w:rsidR="00495F14" w:rsidRPr="00755372" w:rsidRDefault="00495F14" w:rsidP="00D33E83">
            <w:pPr>
              <w:jc w:val="center"/>
              <w:rPr>
                <w:sz w:val="22"/>
                <w:szCs w:val="22"/>
              </w:rPr>
            </w:pPr>
          </w:p>
        </w:tc>
      </w:tr>
      <w:tr w:rsidR="00495F14" w:rsidRPr="00755372" w:rsidTr="00495F14">
        <w:trPr>
          <w:trHeight w:val="300"/>
        </w:trPr>
        <w:tc>
          <w:tcPr>
            <w:tcW w:w="2805" w:type="dxa"/>
            <w:shd w:val="clear" w:color="auto" w:fill="auto"/>
          </w:tcPr>
          <w:p w:rsidR="00495F14" w:rsidRPr="00755372" w:rsidRDefault="00495F14" w:rsidP="00D33E83">
            <w:pPr>
              <w:rPr>
                <w:rFonts w:eastAsia="Calibri"/>
                <w:color w:val="000000"/>
                <w:sz w:val="22"/>
                <w:szCs w:val="22"/>
              </w:rPr>
            </w:pPr>
          </w:p>
        </w:tc>
        <w:tc>
          <w:tcPr>
            <w:tcW w:w="2520" w:type="dxa"/>
            <w:shd w:val="clear" w:color="auto" w:fill="auto"/>
            <w:noWrap/>
          </w:tcPr>
          <w:p w:rsidR="00495F14" w:rsidRPr="00755372" w:rsidRDefault="00495F14" w:rsidP="00D33E83">
            <w:pPr>
              <w:rPr>
                <w:sz w:val="22"/>
                <w:szCs w:val="22"/>
              </w:rPr>
            </w:pPr>
          </w:p>
        </w:tc>
        <w:tc>
          <w:tcPr>
            <w:tcW w:w="1800" w:type="dxa"/>
          </w:tcPr>
          <w:p w:rsidR="00495F14" w:rsidRPr="00755372" w:rsidRDefault="00495F14" w:rsidP="00D33E83">
            <w:pPr>
              <w:jc w:val="center"/>
              <w:rPr>
                <w:bCs/>
                <w:color w:val="000000"/>
                <w:sz w:val="22"/>
                <w:szCs w:val="22"/>
              </w:rPr>
            </w:pPr>
          </w:p>
        </w:tc>
        <w:tc>
          <w:tcPr>
            <w:tcW w:w="1814" w:type="dxa"/>
          </w:tcPr>
          <w:p w:rsidR="00495F14" w:rsidRPr="00755372" w:rsidRDefault="00495F14" w:rsidP="00D33E83">
            <w:pPr>
              <w:jc w:val="center"/>
              <w:rPr>
                <w:rFonts w:eastAsia="Calibri"/>
                <w:color w:val="000000"/>
                <w:sz w:val="22"/>
                <w:szCs w:val="22"/>
              </w:rPr>
            </w:pPr>
          </w:p>
        </w:tc>
        <w:tc>
          <w:tcPr>
            <w:tcW w:w="1984" w:type="dxa"/>
          </w:tcPr>
          <w:p w:rsidR="00495F14" w:rsidRPr="00755372" w:rsidRDefault="00495F14" w:rsidP="00D33E83">
            <w:pPr>
              <w:jc w:val="center"/>
              <w:rPr>
                <w:sz w:val="22"/>
                <w:szCs w:val="22"/>
              </w:rPr>
            </w:pPr>
          </w:p>
        </w:tc>
      </w:tr>
    </w:tbl>
    <w:p w:rsidR="0002129A" w:rsidRPr="00755372" w:rsidRDefault="0002129A" w:rsidP="0002129A">
      <w:pPr>
        <w:spacing w:after="200" w:line="276" w:lineRule="auto"/>
        <w:rPr>
          <w:rFonts w:eastAsia="Calibri"/>
          <w:sz w:val="22"/>
          <w:szCs w:val="22"/>
        </w:rPr>
      </w:pPr>
    </w:p>
    <w:sectPr w:rsidR="0002129A" w:rsidRPr="00755372" w:rsidSect="001A46FF">
      <w:footerReference w:type="first" r:id="rId13"/>
      <w:pgSz w:w="12240" w:h="15840" w:code="1"/>
      <w:pgMar w:top="1152"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602" w:rsidRDefault="008C4602">
      <w:r>
        <w:separator/>
      </w:r>
    </w:p>
  </w:endnote>
  <w:endnote w:type="continuationSeparator" w:id="0">
    <w:p w:rsidR="008C4602" w:rsidRDefault="008C4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9B" w:rsidRDefault="008233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71" w:rsidRDefault="009450E2">
    <w:pPr>
      <w:pStyle w:val="Footer"/>
      <w:jc w:val="center"/>
    </w:pPr>
    <w:fldSimple w:instr=" PAGE   \* MERGEFORMAT ">
      <w:r w:rsidR="0082339B">
        <w:rPr>
          <w:noProof/>
        </w:rPr>
        <w:t>2</w:t>
      </w:r>
    </w:fldSimple>
  </w:p>
  <w:p w:rsidR="000A3A8E" w:rsidRDefault="00CE4971" w:rsidP="00CE4971">
    <w:pPr>
      <w:pStyle w:val="Footer"/>
      <w:spacing w:line="200" w:lineRule="exact"/>
    </w:pPr>
    <w:r w:rsidRPr="00CE4971">
      <w:rPr>
        <w:rStyle w:val="zzmpTrailerItem"/>
      </w:rPr>
      <w:t>27718093v2</w:t>
    </w:r>
    <w:r w:rsidRPr="00CE4971">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71" w:rsidRDefault="009450E2">
    <w:pPr>
      <w:pStyle w:val="Footer"/>
      <w:jc w:val="center"/>
    </w:pPr>
    <w:fldSimple w:instr=" PAGE   \* MERGEFORMAT ">
      <w:r w:rsidR="0082339B">
        <w:rPr>
          <w:noProof/>
        </w:rPr>
        <w:t>1</w:t>
      </w:r>
    </w:fldSimple>
  </w:p>
  <w:p w:rsidR="000A3A8E" w:rsidRDefault="00CE4971" w:rsidP="00CE4971">
    <w:pPr>
      <w:pStyle w:val="Footer"/>
      <w:spacing w:line="200" w:lineRule="exact"/>
    </w:pPr>
    <w:r w:rsidRPr="00CE4971">
      <w:rPr>
        <w:rStyle w:val="zzmpTrailerItem"/>
      </w:rPr>
      <w:t>27718093v2</w:t>
    </w:r>
    <w:r w:rsidRPr="00CE4971">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FF" w:rsidRDefault="001A46FF">
    <w:pPr>
      <w:pStyle w:val="Footer"/>
      <w:jc w:val="center"/>
    </w:pPr>
    <w:r>
      <w:t>A-1</w:t>
    </w:r>
  </w:p>
  <w:p w:rsidR="001A46FF" w:rsidRDefault="001A46FF" w:rsidP="00CE4971">
    <w:pPr>
      <w:pStyle w:val="Footer"/>
      <w:spacing w:line="200" w:lineRule="exact"/>
    </w:pPr>
    <w:r w:rsidRPr="00CE4971">
      <w:rPr>
        <w:rStyle w:val="zzmpTrailerItem"/>
      </w:rPr>
      <w:t>27718093v2</w:t>
    </w:r>
    <w:r w:rsidRPr="00CE4971">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602" w:rsidRDefault="008C4602">
      <w:r>
        <w:separator/>
      </w:r>
    </w:p>
  </w:footnote>
  <w:footnote w:type="continuationSeparator" w:id="0">
    <w:p w:rsidR="008C4602" w:rsidRDefault="008C4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9B" w:rsidRDefault="008233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66" w:rsidRDefault="00844C66">
    <w:pPr>
      <w:pStyle w:val="Header"/>
      <w:jc w:val="right"/>
    </w:pPr>
  </w:p>
  <w:p w:rsidR="00844C66" w:rsidRDefault="00844C66">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031" w:rsidRDefault="00BC0031" w:rsidP="00BC0031">
    <w:pPr>
      <w:pStyle w:val="Header"/>
      <w:rPr>
        <w:b/>
      </w:rPr>
    </w:pPr>
    <w:r>
      <w:rPr>
        <w:b/>
      </w:rPr>
      <w:t xml:space="preserve">MARIN CLEAN ENERGY </w:t>
    </w:r>
  </w:p>
  <w:p w:rsidR="00BC0031" w:rsidRDefault="004E6F53" w:rsidP="00BC0031">
    <w:pPr>
      <w:pStyle w:val="Header"/>
      <w:rPr>
        <w:b/>
      </w:rPr>
    </w:pPr>
    <w:r>
      <w:rPr>
        <w:b/>
      </w:rPr>
      <w:t>02</w:t>
    </w:r>
    <w:r w:rsidR="00BC0031">
      <w:rPr>
        <w:b/>
      </w:rPr>
      <w:t>/</w:t>
    </w:r>
    <w:r>
      <w:rPr>
        <w:b/>
      </w:rPr>
      <w:t>23</w:t>
    </w:r>
    <w:r w:rsidR="00BC0031">
      <w:rPr>
        <w:b/>
      </w:rPr>
      <w:t>/2015 DRAFT</w:t>
    </w:r>
  </w:p>
  <w:p w:rsidR="00BC0031" w:rsidRDefault="00BC00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D36C3"/>
    <w:multiLevelType w:val="hybridMultilevel"/>
    <w:tmpl w:val="0BD07AA4"/>
    <w:lvl w:ilvl="0" w:tplc="EDA2DDD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D524D"/>
    <w:multiLevelType w:val="hybridMultilevel"/>
    <w:tmpl w:val="0644D63C"/>
    <w:lvl w:ilvl="0" w:tplc="04090017">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415EBE"/>
    <w:multiLevelType w:val="multilevel"/>
    <w:tmpl w:val="EBF24398"/>
    <w:lvl w:ilvl="0">
      <w:start w:val="1"/>
      <w:numFmt w:val="bullet"/>
      <w:lvlText w:val=""/>
      <w:lvlJc w:val="left"/>
      <w:pPr>
        <w:tabs>
          <w:tab w:val="num" w:pos="720"/>
        </w:tabs>
      </w:pPr>
      <w:rPr>
        <w:rFonts w:ascii="Symbol" w:hAnsi="Symbol" w:hint="default"/>
        <w:b w:val="0"/>
        <w:bCs w:val="0"/>
        <w:i w:val="0"/>
        <w:iCs w:val="0"/>
        <w:caps w:val="0"/>
        <w:smallCaps w:val="0"/>
        <w:strike w:val="0"/>
        <w:dstrike w:val="0"/>
        <w:vanish w:val="0"/>
        <w:color w:val="000000"/>
        <w:spacing w:val="0"/>
        <w:kern w:val="0"/>
        <w:position w:val="0"/>
        <w:sz w:val="24"/>
        <w:u w:val="none"/>
        <w:effect w:val="none"/>
        <w:vertAlign w:val="baseline"/>
      </w:rPr>
    </w:lvl>
    <w:lvl w:ilvl="1">
      <w:start w:val="1"/>
      <w:numFmt w:val="lowerLetter"/>
      <w:pStyle w:val="OutHead2"/>
      <w:lvlText w:val="(%2)"/>
      <w:lvlJc w:val="left"/>
      <w:pPr>
        <w:tabs>
          <w:tab w:val="num" w:pos="720"/>
        </w:tabs>
        <w:ind w:left="720" w:hanging="720"/>
      </w:pPr>
      <w:rPr>
        <w:rFonts w:ascii="Arial" w:hAnsi="Arial" w:cs="Arial" w:hint="default"/>
        <w:b w:val="0"/>
        <w:bCs/>
        <w:i w:val="0"/>
        <w:caps w:val="0"/>
        <w:smallCaps w:val="0"/>
        <w:strike w:val="0"/>
        <w:dstrike w:val="0"/>
        <w:color w:val="000000"/>
        <w:sz w:val="20"/>
        <w:szCs w:val="20"/>
        <w:u w:val="none"/>
        <w:effect w:val="none"/>
        <w:vertAlign w:val="baseline"/>
      </w:rPr>
    </w:lvl>
    <w:lvl w:ilvl="2">
      <w:start w:val="1"/>
      <w:numFmt w:val="lowerRoman"/>
      <w:pStyle w:val="OutHead3"/>
      <w:lvlText w:val="(%3)"/>
      <w:lvlJc w:val="left"/>
      <w:pPr>
        <w:tabs>
          <w:tab w:val="num" w:pos="1980"/>
        </w:tabs>
        <w:ind w:left="1980" w:hanging="720"/>
      </w:pPr>
      <w:rPr>
        <w:rFonts w:ascii="Arial" w:hAnsi="Arial" w:cs="Arial" w:hint="default"/>
        <w:b w:val="0"/>
        <w:bCs w:val="0"/>
        <w:i w:val="0"/>
        <w:caps w:val="0"/>
        <w:smallCaps w:val="0"/>
        <w:strike w:val="0"/>
        <w:dstrike w:val="0"/>
        <w:color w:val="000000"/>
        <w:sz w:val="20"/>
        <w:szCs w:val="20"/>
        <w:u w:val="none"/>
        <w:effect w:val="none"/>
        <w:vertAlign w:val="baseline"/>
      </w:rPr>
    </w:lvl>
    <w:lvl w:ilvl="3">
      <w:start w:val="1"/>
      <w:numFmt w:val="lowerLetter"/>
      <w:pStyle w:val="OutHead4"/>
      <w:lvlText w:val="%4."/>
      <w:lvlJc w:val="left"/>
      <w:pPr>
        <w:tabs>
          <w:tab w:val="num" w:pos="3600"/>
        </w:tabs>
        <w:ind w:left="3600" w:hanging="720"/>
      </w:pPr>
      <w:rPr>
        <w:rFonts w:ascii="Times New Roman" w:hAnsi="Times New Roman" w:cs="Times New Roman" w:hint="default"/>
        <w:b w:val="0"/>
        <w:bCs w:val="0"/>
        <w:i w:val="0"/>
        <w:caps w:val="0"/>
        <w:smallCaps w:val="0"/>
        <w:strike w:val="0"/>
        <w:dstrike w:val="0"/>
        <w:color w:val="000000"/>
        <w:sz w:val="24"/>
        <w:u w:val="none"/>
        <w:effect w:val="none"/>
        <w:vertAlign w:val="baseline"/>
      </w:rPr>
    </w:lvl>
    <w:lvl w:ilvl="4">
      <w:start w:val="1"/>
      <w:numFmt w:val="decimal"/>
      <w:pStyle w:val="OutHead5"/>
      <w:lvlText w:val="(%5)"/>
      <w:lvlJc w:val="left"/>
      <w:pPr>
        <w:tabs>
          <w:tab w:val="num" w:pos="4320"/>
        </w:tabs>
        <w:ind w:left="4320" w:hanging="720"/>
      </w:pPr>
      <w:rPr>
        <w:rFonts w:ascii="Times New Roman" w:hAnsi="Times New Roman" w:cs="Times New Roman" w:hint="default"/>
        <w:b w:val="0"/>
        <w:bCs w:val="0"/>
        <w:i w:val="0"/>
        <w:caps w:val="0"/>
        <w:smallCaps w:val="0"/>
        <w:strike w:val="0"/>
        <w:dstrike w:val="0"/>
        <w:color w:val="000000"/>
        <w:sz w:val="24"/>
        <w:u w:val="none"/>
        <w:effect w:val="none"/>
        <w:vertAlign w:val="baseline"/>
      </w:rPr>
    </w:lvl>
    <w:lvl w:ilvl="5">
      <w:start w:val="1"/>
      <w:numFmt w:val="lowerLetter"/>
      <w:pStyle w:val="OutHead6"/>
      <w:lvlText w:val="(%6)"/>
      <w:lvlJc w:val="left"/>
      <w:pPr>
        <w:tabs>
          <w:tab w:val="num" w:pos="5040"/>
        </w:tabs>
        <w:ind w:left="5040" w:hanging="720"/>
      </w:pPr>
      <w:rPr>
        <w:rFonts w:ascii="Times New Roman" w:hAnsi="Times New Roman" w:cs="Times New Roman" w:hint="default"/>
        <w:b/>
        <w:bCs/>
        <w:i w:val="0"/>
        <w:iCs w:val="0"/>
        <w:caps w:val="0"/>
        <w:smallCaps w:val="0"/>
        <w:strike w:val="0"/>
        <w:dstrike w:val="0"/>
        <w:vanish w:val="0"/>
        <w:color w:val="000000"/>
        <w:spacing w:val="0"/>
        <w:kern w:val="0"/>
        <w:position w:val="0"/>
        <w:sz w:val="24"/>
        <w:u w:val="none"/>
        <w:effect w:val="none"/>
        <w:vertAlign w:val="baseline"/>
      </w:rPr>
    </w:lvl>
    <w:lvl w:ilvl="6">
      <w:start w:val="1"/>
      <w:numFmt w:val="lowerRoman"/>
      <w:pStyle w:val="OutHead7"/>
      <w:lvlText w:val="%7)"/>
      <w:lvlJc w:val="left"/>
      <w:pPr>
        <w:tabs>
          <w:tab w:val="num" w:pos="5760"/>
        </w:tabs>
        <w:ind w:left="576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7">
      <w:start w:val="1"/>
      <w:numFmt w:val="lowerLetter"/>
      <w:pStyle w:val="OutHead8"/>
      <w:lvlText w:val="%8)"/>
      <w:lvlJc w:val="left"/>
      <w:pPr>
        <w:tabs>
          <w:tab w:val="num" w:pos="6480"/>
        </w:tabs>
        <w:ind w:left="6480" w:hanging="720"/>
      </w:pPr>
      <w:rPr>
        <w:rFonts w:ascii="Times New Roman" w:hAnsi="Times New Roman" w:cs="Times New Roman" w:hint="default"/>
        <w:b/>
        <w:i w:val="0"/>
        <w:caps w:val="0"/>
        <w:smallCaps w:val="0"/>
        <w:strike w:val="0"/>
        <w:dstrike w:val="0"/>
        <w:color w:val="000000"/>
        <w:sz w:val="24"/>
        <w:u w:val="none"/>
        <w:effect w:val="none"/>
        <w:vertAlign w:val="baseline"/>
      </w:rPr>
    </w:lvl>
    <w:lvl w:ilvl="8">
      <w:start w:val="1"/>
      <w:numFmt w:val="lowerRoman"/>
      <w:lvlText w:val="%9."/>
      <w:lvlJc w:val="left"/>
      <w:pPr>
        <w:tabs>
          <w:tab w:val="num" w:pos="1080"/>
        </w:tabs>
        <w:ind w:left="1080" w:hanging="360"/>
      </w:pPr>
      <w:rPr>
        <w:rFonts w:cs="Times New Roman" w:hint="default"/>
      </w:rPr>
    </w:lvl>
  </w:abstractNum>
  <w:abstractNum w:abstractNumId="3">
    <w:nsid w:val="3CB5326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4CD3D87"/>
    <w:multiLevelType w:val="hybridMultilevel"/>
    <w:tmpl w:val="974CE7A8"/>
    <w:lvl w:ilvl="0" w:tplc="BE44E180">
      <w:start w:val="1"/>
      <w:numFmt w:val="decimal"/>
      <w:lvlText w:val="(%1)"/>
      <w:lvlJc w:val="left"/>
      <w:pPr>
        <w:ind w:left="480" w:hanging="360"/>
      </w:pPr>
      <w:rPr>
        <w:rFonts w:hint="default"/>
        <w:sz w:val="22"/>
        <w:szCs w:val="22"/>
        <w:vertAlign w:val="subscrip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46F55EA9"/>
    <w:multiLevelType w:val="singleLevel"/>
    <w:tmpl w:val="ABF691AC"/>
    <w:lvl w:ilvl="0">
      <w:start w:val="5"/>
      <w:numFmt w:val="lowerLetter"/>
      <w:lvlText w:val="%1)"/>
      <w:lvlJc w:val="left"/>
      <w:pPr>
        <w:tabs>
          <w:tab w:val="num" w:pos="720"/>
        </w:tabs>
        <w:ind w:left="720" w:hanging="720"/>
      </w:pPr>
      <w:rPr>
        <w:rFonts w:hint="default"/>
      </w:rPr>
    </w:lvl>
  </w:abstractNum>
  <w:abstractNum w:abstractNumId="6">
    <w:nsid w:val="4C673EBF"/>
    <w:multiLevelType w:val="hybridMultilevel"/>
    <w:tmpl w:val="3C4205C0"/>
    <w:lvl w:ilvl="0" w:tplc="BF1627C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CB5814"/>
    <w:multiLevelType w:val="multilevel"/>
    <w:tmpl w:val="0644D63C"/>
    <w:lvl w:ilvl="0">
      <w:start w:val="10"/>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E501424"/>
    <w:multiLevelType w:val="hybridMultilevel"/>
    <w:tmpl w:val="A6A0CD5E"/>
    <w:lvl w:ilvl="0" w:tplc="BF1627C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7A4672"/>
    <w:multiLevelType w:val="singleLevel"/>
    <w:tmpl w:val="9EBE7E7E"/>
    <w:lvl w:ilvl="0">
      <w:start w:val="8"/>
      <w:numFmt w:val="lowerLetter"/>
      <w:lvlText w:val="%1)"/>
      <w:lvlJc w:val="left"/>
      <w:pPr>
        <w:tabs>
          <w:tab w:val="num" w:pos="720"/>
        </w:tabs>
        <w:ind w:left="720" w:hanging="720"/>
      </w:pPr>
      <w:rPr>
        <w:rFonts w:hint="default"/>
      </w:rPr>
    </w:lvl>
  </w:abstractNum>
  <w:abstractNum w:abstractNumId="10">
    <w:nsid w:val="67394F52"/>
    <w:multiLevelType w:val="hybridMultilevel"/>
    <w:tmpl w:val="0BD07AA4"/>
    <w:lvl w:ilvl="0" w:tplc="EDA2DDD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012A47"/>
    <w:multiLevelType w:val="hybridMultilevel"/>
    <w:tmpl w:val="38C43F12"/>
    <w:lvl w:ilvl="0" w:tplc="BF1627CA">
      <w:start w:val="1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7D3CA1"/>
    <w:multiLevelType w:val="hybridMultilevel"/>
    <w:tmpl w:val="0BD07AA4"/>
    <w:lvl w:ilvl="0" w:tplc="EDA2DDD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A744B7"/>
    <w:multiLevelType w:val="multilevel"/>
    <w:tmpl w:val="6CE06808"/>
    <w:name w:val="zzmpWP2||WP2|2|3|1|3|2|4||1|2|4||1|0|0||1|0|0||1|0|0||1|0|0||1|0|0||1|0|0||1|0|0||"/>
    <w:lvl w:ilvl="0">
      <w:start w:val="1"/>
      <w:numFmt w:val="cardinalText"/>
      <w:pStyle w:val="WP2L1"/>
      <w:suff w:val="nothing"/>
      <w:lvlText w:val="ARTICLE %1:"/>
      <w:lvlJc w:val="left"/>
      <w:pPr>
        <w:tabs>
          <w:tab w:val="num" w:pos="288"/>
        </w:tabs>
        <w:ind w:left="0" w:firstLine="0"/>
      </w:pPr>
      <w:rPr>
        <w:b w:val="0"/>
        <w:i w:val="0"/>
        <w:caps/>
        <w:smallCaps w:val="0"/>
        <w:strike w:val="0"/>
        <w:dstrike w:val="0"/>
        <w:vanish w:val="0"/>
        <w:color w:val="auto"/>
        <w:u w:val="none"/>
        <w:effect w:val="none"/>
        <w:vertAlign w:val="baseline"/>
      </w:rPr>
    </w:lvl>
    <w:lvl w:ilvl="1">
      <w:start w:val="1"/>
      <w:numFmt w:val="decimal"/>
      <w:pStyle w:val="WP2L2"/>
      <w:isLgl/>
      <w:lvlText w:val="%1.%2"/>
      <w:lvlJc w:val="left"/>
      <w:pPr>
        <w:tabs>
          <w:tab w:val="num" w:pos="1440"/>
        </w:tabs>
        <w:ind w:left="0" w:firstLine="720"/>
      </w:pPr>
      <w:rPr>
        <w:b w:val="0"/>
        <w:i w:val="0"/>
        <w:caps w:val="0"/>
        <w:strike w:val="0"/>
        <w:dstrike w:val="0"/>
        <w:vanish w:val="0"/>
        <w:color w:val="auto"/>
        <w:u w:val="none"/>
        <w:effect w:val="none"/>
        <w:vertAlign w:val="baseline"/>
      </w:rPr>
    </w:lvl>
    <w:lvl w:ilvl="2">
      <w:start w:val="1"/>
      <w:numFmt w:val="lowerLetter"/>
      <w:pStyle w:val="WP2L3"/>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lowerRoman"/>
      <w:pStyle w:val="WP2L4"/>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upperLetter"/>
      <w:pStyle w:val="WP2L5"/>
      <w:lvlText w:val="(%5)"/>
      <w:lvlJc w:val="left"/>
      <w:pPr>
        <w:tabs>
          <w:tab w:val="num" w:pos="3600"/>
        </w:tabs>
        <w:ind w:left="0" w:firstLine="2880"/>
      </w:pPr>
      <w:rPr>
        <w:b w:val="0"/>
        <w:i w:val="0"/>
        <w:caps w:val="0"/>
        <w:strike w:val="0"/>
        <w:dstrike w:val="0"/>
        <w:vanish w:val="0"/>
        <w:color w:val="auto"/>
        <w:u w:val="none"/>
        <w:effect w:val="none"/>
        <w:vertAlign w:val="baseline"/>
      </w:rPr>
    </w:lvl>
    <w:lvl w:ilvl="5">
      <w:start w:val="1"/>
      <w:numFmt w:val="decimal"/>
      <w:pStyle w:val="WP2L6"/>
      <w:lvlText w:val="%6."/>
      <w:lvlJc w:val="left"/>
      <w:pPr>
        <w:tabs>
          <w:tab w:val="num" w:pos="720"/>
        </w:tabs>
        <w:ind w:left="0" w:firstLine="0"/>
      </w:pPr>
      <w:rPr>
        <w:b w:val="0"/>
        <w:i w:val="0"/>
        <w:caps w:val="0"/>
        <w:strike w:val="0"/>
        <w:dstrike w:val="0"/>
        <w:vanish w:val="0"/>
        <w:color w:val="auto"/>
        <w:u w:val="none"/>
        <w:effect w:val="none"/>
        <w:vertAlign w:val="baseline"/>
      </w:rPr>
    </w:lvl>
    <w:lvl w:ilvl="6">
      <w:start w:val="1"/>
      <w:numFmt w:val="lowerLetter"/>
      <w:pStyle w:val="WP2L7"/>
      <w:lvlText w:val="%7."/>
      <w:lvlJc w:val="left"/>
      <w:pPr>
        <w:tabs>
          <w:tab w:val="num" w:pos="1440"/>
        </w:tabs>
        <w:ind w:left="0" w:firstLine="720"/>
      </w:pPr>
      <w:rPr>
        <w:b w:val="0"/>
        <w:i w:val="0"/>
        <w:caps w:val="0"/>
        <w:strike w:val="0"/>
        <w:dstrike w:val="0"/>
        <w:vanish w:val="0"/>
        <w:color w:val="auto"/>
        <w:u w:val="none"/>
        <w:effect w:val="none"/>
        <w:vertAlign w:val="baseline"/>
      </w:rPr>
    </w:lvl>
    <w:lvl w:ilvl="7">
      <w:start w:val="1"/>
      <w:numFmt w:val="decimal"/>
      <w:pStyle w:val="WP2L8"/>
      <w:lvlText w:val="(%8)"/>
      <w:lvlJc w:val="left"/>
      <w:pPr>
        <w:tabs>
          <w:tab w:val="num" w:pos="3600"/>
        </w:tabs>
        <w:ind w:left="0" w:firstLine="2448"/>
      </w:pPr>
      <w:rPr>
        <w:b w:val="0"/>
        <w:i w:val="0"/>
        <w:caps w:val="0"/>
        <w:strike w:val="0"/>
        <w:dstrike w:val="0"/>
        <w:vanish w:val="0"/>
        <w:color w:val="auto"/>
        <w:u w:val="none"/>
        <w:effect w:val="none"/>
        <w:vertAlign w:val="baseline"/>
      </w:rPr>
    </w:lvl>
    <w:lvl w:ilvl="8">
      <w:start w:val="1"/>
      <w:numFmt w:val="lowerLetter"/>
      <w:pStyle w:val="WP2L9"/>
      <w:lvlText w:val="(%9)"/>
      <w:lvlJc w:val="left"/>
      <w:pPr>
        <w:tabs>
          <w:tab w:val="num" w:pos="4320"/>
        </w:tabs>
        <w:ind w:left="0" w:firstLine="3600"/>
      </w:pPr>
      <w:rPr>
        <w:b w:val="0"/>
        <w:i w:val="0"/>
        <w:caps w:val="0"/>
        <w:strike w:val="0"/>
        <w:dstrike w:val="0"/>
        <w:vanish w:val="0"/>
        <w:color w:val="auto"/>
        <w:u w:val="none"/>
        <w:effect w:val="none"/>
        <w:vertAlign w:val="baseline"/>
      </w:rPr>
    </w:lvl>
  </w:abstractNum>
  <w:num w:numId="1">
    <w:abstractNumId w:val="9"/>
  </w:num>
  <w:num w:numId="2">
    <w:abstractNumId w:val="5"/>
  </w:num>
  <w:num w:numId="3">
    <w:abstractNumId w:val="1"/>
  </w:num>
  <w:num w:numId="4">
    <w:abstractNumId w:val="7"/>
  </w:num>
  <w:num w:numId="5">
    <w:abstractNumId w:val="8"/>
  </w:num>
  <w:num w:numId="6">
    <w:abstractNumId w:val="6"/>
  </w:num>
  <w:num w:numId="7">
    <w:abstractNumId w:val="11"/>
  </w:num>
  <w:num w:numId="8">
    <w:abstractNumId w:val="13"/>
  </w:num>
  <w:num w:numId="9">
    <w:abstractNumId w:val="13"/>
    <w:lvlOverride w:ilvl="0">
      <w:startOverride w:val="1"/>
    </w:lvlOverride>
    <w:lvlOverride w:ilvl="1">
      <w:startOverride w:val="1"/>
    </w:lvlOverride>
    <w:lvlOverride w:ilvl="2">
      <w:startOverride w:val="4"/>
    </w:lvlOverride>
  </w:num>
  <w:num w:numId="10">
    <w:abstractNumId w:val="2"/>
  </w:num>
  <w:num w:numId="11">
    <w:abstractNumId w:val="0"/>
  </w:num>
  <w:num w:numId="12">
    <w:abstractNumId w:val="4"/>
  </w:num>
  <w:num w:numId="13">
    <w:abstractNumId w:val="10"/>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stylePaneFormatFilter w:val="3F01"/>
  <w:doNotTrackMoves/>
  <w:defaultTabStop w:val="720"/>
  <w:drawingGridHorizontalSpacing w:val="12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1CA3"/>
    <w:rsid w:val="00002583"/>
    <w:rsid w:val="000033ED"/>
    <w:rsid w:val="00003AAB"/>
    <w:rsid w:val="00005916"/>
    <w:rsid w:val="000154AD"/>
    <w:rsid w:val="0002129A"/>
    <w:rsid w:val="000314A6"/>
    <w:rsid w:val="00037805"/>
    <w:rsid w:val="000400C5"/>
    <w:rsid w:val="0004190E"/>
    <w:rsid w:val="000451C7"/>
    <w:rsid w:val="00046D84"/>
    <w:rsid w:val="000507E3"/>
    <w:rsid w:val="000540B4"/>
    <w:rsid w:val="00057E81"/>
    <w:rsid w:val="00063263"/>
    <w:rsid w:val="00067B8A"/>
    <w:rsid w:val="00067FC0"/>
    <w:rsid w:val="000727B3"/>
    <w:rsid w:val="000811E7"/>
    <w:rsid w:val="00084580"/>
    <w:rsid w:val="000948F7"/>
    <w:rsid w:val="00096A50"/>
    <w:rsid w:val="000A2775"/>
    <w:rsid w:val="000A3A8E"/>
    <w:rsid w:val="000B316E"/>
    <w:rsid w:val="000B70AE"/>
    <w:rsid w:val="000C092C"/>
    <w:rsid w:val="000C1B8A"/>
    <w:rsid w:val="000C6D58"/>
    <w:rsid w:val="000D06EF"/>
    <w:rsid w:val="000D130E"/>
    <w:rsid w:val="000D38DE"/>
    <w:rsid w:val="000D53B1"/>
    <w:rsid w:val="000D556A"/>
    <w:rsid w:val="000D7EB8"/>
    <w:rsid w:val="000E0A27"/>
    <w:rsid w:val="000E303B"/>
    <w:rsid w:val="000F2C99"/>
    <w:rsid w:val="000F5936"/>
    <w:rsid w:val="000F6F59"/>
    <w:rsid w:val="00102511"/>
    <w:rsid w:val="00105076"/>
    <w:rsid w:val="001153C9"/>
    <w:rsid w:val="0011727B"/>
    <w:rsid w:val="00125B3A"/>
    <w:rsid w:val="00127A14"/>
    <w:rsid w:val="00142302"/>
    <w:rsid w:val="001431B8"/>
    <w:rsid w:val="00143387"/>
    <w:rsid w:val="00145792"/>
    <w:rsid w:val="0015254B"/>
    <w:rsid w:val="00152EB7"/>
    <w:rsid w:val="00153429"/>
    <w:rsid w:val="0015590A"/>
    <w:rsid w:val="00163792"/>
    <w:rsid w:val="001639E0"/>
    <w:rsid w:val="00174560"/>
    <w:rsid w:val="001751B9"/>
    <w:rsid w:val="001757E0"/>
    <w:rsid w:val="001778CA"/>
    <w:rsid w:val="00186E7C"/>
    <w:rsid w:val="00194D5D"/>
    <w:rsid w:val="001A2301"/>
    <w:rsid w:val="001A46FF"/>
    <w:rsid w:val="001A710A"/>
    <w:rsid w:val="001B4681"/>
    <w:rsid w:val="001B4A36"/>
    <w:rsid w:val="001D57A9"/>
    <w:rsid w:val="001E062A"/>
    <w:rsid w:val="001E194A"/>
    <w:rsid w:val="001E2219"/>
    <w:rsid w:val="001E7213"/>
    <w:rsid w:val="001E7DA2"/>
    <w:rsid w:val="001F24EF"/>
    <w:rsid w:val="001F2565"/>
    <w:rsid w:val="001F3C68"/>
    <w:rsid w:val="001F5392"/>
    <w:rsid w:val="001F78C9"/>
    <w:rsid w:val="00201C35"/>
    <w:rsid w:val="00203BA9"/>
    <w:rsid w:val="00204667"/>
    <w:rsid w:val="00206E28"/>
    <w:rsid w:val="00214766"/>
    <w:rsid w:val="002160A9"/>
    <w:rsid w:val="002228A6"/>
    <w:rsid w:val="002265A0"/>
    <w:rsid w:val="002266EC"/>
    <w:rsid w:val="0023152C"/>
    <w:rsid w:val="00235BC5"/>
    <w:rsid w:val="002363FD"/>
    <w:rsid w:val="002378BD"/>
    <w:rsid w:val="00240D8F"/>
    <w:rsid w:val="00245040"/>
    <w:rsid w:val="00247502"/>
    <w:rsid w:val="002539E8"/>
    <w:rsid w:val="00253A9A"/>
    <w:rsid w:val="0025491E"/>
    <w:rsid w:val="0025740D"/>
    <w:rsid w:val="0026104E"/>
    <w:rsid w:val="002635A9"/>
    <w:rsid w:val="00266318"/>
    <w:rsid w:val="002753E9"/>
    <w:rsid w:val="002768B5"/>
    <w:rsid w:val="00276CD0"/>
    <w:rsid w:val="00283E74"/>
    <w:rsid w:val="00285DB6"/>
    <w:rsid w:val="00293597"/>
    <w:rsid w:val="00294764"/>
    <w:rsid w:val="0029524D"/>
    <w:rsid w:val="002A43BC"/>
    <w:rsid w:val="002A7157"/>
    <w:rsid w:val="002A7C76"/>
    <w:rsid w:val="002B208E"/>
    <w:rsid w:val="002B7F71"/>
    <w:rsid w:val="002C1276"/>
    <w:rsid w:val="002C3824"/>
    <w:rsid w:val="002C5750"/>
    <w:rsid w:val="002C72AF"/>
    <w:rsid w:val="002D0792"/>
    <w:rsid w:val="002E5476"/>
    <w:rsid w:val="002F7104"/>
    <w:rsid w:val="0030327F"/>
    <w:rsid w:val="00305793"/>
    <w:rsid w:val="0031010C"/>
    <w:rsid w:val="00310486"/>
    <w:rsid w:val="00315A97"/>
    <w:rsid w:val="0032160C"/>
    <w:rsid w:val="00321E9A"/>
    <w:rsid w:val="003238A1"/>
    <w:rsid w:val="00323C42"/>
    <w:rsid w:val="003259C1"/>
    <w:rsid w:val="003302BC"/>
    <w:rsid w:val="00331FBE"/>
    <w:rsid w:val="00336ADB"/>
    <w:rsid w:val="0034426D"/>
    <w:rsid w:val="003533FA"/>
    <w:rsid w:val="00355F4D"/>
    <w:rsid w:val="003569A8"/>
    <w:rsid w:val="003604A7"/>
    <w:rsid w:val="003610AF"/>
    <w:rsid w:val="003623DA"/>
    <w:rsid w:val="00362A71"/>
    <w:rsid w:val="00362B7A"/>
    <w:rsid w:val="00367223"/>
    <w:rsid w:val="0037042E"/>
    <w:rsid w:val="00372A83"/>
    <w:rsid w:val="00382600"/>
    <w:rsid w:val="003842FD"/>
    <w:rsid w:val="003909AF"/>
    <w:rsid w:val="00393B33"/>
    <w:rsid w:val="00393FFE"/>
    <w:rsid w:val="003941B2"/>
    <w:rsid w:val="003957CF"/>
    <w:rsid w:val="00396A7D"/>
    <w:rsid w:val="00397044"/>
    <w:rsid w:val="003A10E6"/>
    <w:rsid w:val="003A3D07"/>
    <w:rsid w:val="003A4B36"/>
    <w:rsid w:val="003B105C"/>
    <w:rsid w:val="003B1540"/>
    <w:rsid w:val="003D12D6"/>
    <w:rsid w:val="003D4C0D"/>
    <w:rsid w:val="003E38F3"/>
    <w:rsid w:val="003E470C"/>
    <w:rsid w:val="003E7D61"/>
    <w:rsid w:val="003F046A"/>
    <w:rsid w:val="003F1C71"/>
    <w:rsid w:val="003F4023"/>
    <w:rsid w:val="00400528"/>
    <w:rsid w:val="004018CD"/>
    <w:rsid w:val="00404E58"/>
    <w:rsid w:val="00404E66"/>
    <w:rsid w:val="004051E8"/>
    <w:rsid w:val="00415FF3"/>
    <w:rsid w:val="00416488"/>
    <w:rsid w:val="004174C5"/>
    <w:rsid w:val="004220DE"/>
    <w:rsid w:val="00422D2D"/>
    <w:rsid w:val="00424754"/>
    <w:rsid w:val="00425520"/>
    <w:rsid w:val="0042627F"/>
    <w:rsid w:val="00427243"/>
    <w:rsid w:val="00431617"/>
    <w:rsid w:val="0043200E"/>
    <w:rsid w:val="004330C0"/>
    <w:rsid w:val="00435DA7"/>
    <w:rsid w:val="0043660E"/>
    <w:rsid w:val="00447D10"/>
    <w:rsid w:val="00451431"/>
    <w:rsid w:val="00452659"/>
    <w:rsid w:val="00454F98"/>
    <w:rsid w:val="00456F31"/>
    <w:rsid w:val="00463CB5"/>
    <w:rsid w:val="0046705D"/>
    <w:rsid w:val="004768FD"/>
    <w:rsid w:val="00477587"/>
    <w:rsid w:val="00482396"/>
    <w:rsid w:val="004863BF"/>
    <w:rsid w:val="00494968"/>
    <w:rsid w:val="00495F14"/>
    <w:rsid w:val="004A032D"/>
    <w:rsid w:val="004A3594"/>
    <w:rsid w:val="004A7921"/>
    <w:rsid w:val="004B0815"/>
    <w:rsid w:val="004B164E"/>
    <w:rsid w:val="004B240B"/>
    <w:rsid w:val="004C1606"/>
    <w:rsid w:val="004C7911"/>
    <w:rsid w:val="004D17C8"/>
    <w:rsid w:val="004E1C42"/>
    <w:rsid w:val="004E4E92"/>
    <w:rsid w:val="004E6F53"/>
    <w:rsid w:val="004F02A6"/>
    <w:rsid w:val="004F2554"/>
    <w:rsid w:val="004F4454"/>
    <w:rsid w:val="0050336E"/>
    <w:rsid w:val="0050442E"/>
    <w:rsid w:val="00506A68"/>
    <w:rsid w:val="0051195C"/>
    <w:rsid w:val="00511DCA"/>
    <w:rsid w:val="0051253E"/>
    <w:rsid w:val="00515C72"/>
    <w:rsid w:val="005201E6"/>
    <w:rsid w:val="00530258"/>
    <w:rsid w:val="00530FDA"/>
    <w:rsid w:val="0053299B"/>
    <w:rsid w:val="0053599E"/>
    <w:rsid w:val="005418AC"/>
    <w:rsid w:val="00547FE9"/>
    <w:rsid w:val="00550FAE"/>
    <w:rsid w:val="00562ED9"/>
    <w:rsid w:val="00570629"/>
    <w:rsid w:val="00572120"/>
    <w:rsid w:val="00575F15"/>
    <w:rsid w:val="0058493D"/>
    <w:rsid w:val="00584E34"/>
    <w:rsid w:val="00585D07"/>
    <w:rsid w:val="00592F86"/>
    <w:rsid w:val="00596ED1"/>
    <w:rsid w:val="005A039D"/>
    <w:rsid w:val="005A35F4"/>
    <w:rsid w:val="005B15F4"/>
    <w:rsid w:val="005B1DC2"/>
    <w:rsid w:val="005B7BAD"/>
    <w:rsid w:val="005C098A"/>
    <w:rsid w:val="005C11F5"/>
    <w:rsid w:val="005D06E6"/>
    <w:rsid w:val="005D7654"/>
    <w:rsid w:val="005E31BF"/>
    <w:rsid w:val="005E3457"/>
    <w:rsid w:val="005F5839"/>
    <w:rsid w:val="005F707E"/>
    <w:rsid w:val="0060030F"/>
    <w:rsid w:val="00604A37"/>
    <w:rsid w:val="00604AA2"/>
    <w:rsid w:val="0061616B"/>
    <w:rsid w:val="00631F56"/>
    <w:rsid w:val="00631FCB"/>
    <w:rsid w:val="00633B74"/>
    <w:rsid w:val="00636B42"/>
    <w:rsid w:val="00637AD9"/>
    <w:rsid w:val="00640383"/>
    <w:rsid w:val="0064146C"/>
    <w:rsid w:val="00642ED3"/>
    <w:rsid w:val="00650065"/>
    <w:rsid w:val="00650385"/>
    <w:rsid w:val="0065470A"/>
    <w:rsid w:val="00654D2A"/>
    <w:rsid w:val="0065533A"/>
    <w:rsid w:val="00657D2B"/>
    <w:rsid w:val="00670E97"/>
    <w:rsid w:val="006712FF"/>
    <w:rsid w:val="006723DB"/>
    <w:rsid w:val="00673FF5"/>
    <w:rsid w:val="00691044"/>
    <w:rsid w:val="006A00BB"/>
    <w:rsid w:val="006A64EE"/>
    <w:rsid w:val="006B283F"/>
    <w:rsid w:val="006C7086"/>
    <w:rsid w:val="006C7CAC"/>
    <w:rsid w:val="006D32F3"/>
    <w:rsid w:val="006D6A62"/>
    <w:rsid w:val="006D729A"/>
    <w:rsid w:val="006E4915"/>
    <w:rsid w:val="006E57DB"/>
    <w:rsid w:val="006E5C8C"/>
    <w:rsid w:val="006F1D1E"/>
    <w:rsid w:val="006F4431"/>
    <w:rsid w:val="006F7887"/>
    <w:rsid w:val="00700900"/>
    <w:rsid w:val="0070107A"/>
    <w:rsid w:val="0070609C"/>
    <w:rsid w:val="00711006"/>
    <w:rsid w:val="007141C0"/>
    <w:rsid w:val="00715E3A"/>
    <w:rsid w:val="007236DA"/>
    <w:rsid w:val="007270AE"/>
    <w:rsid w:val="00732E61"/>
    <w:rsid w:val="00736E81"/>
    <w:rsid w:val="00743100"/>
    <w:rsid w:val="00751848"/>
    <w:rsid w:val="00752A82"/>
    <w:rsid w:val="00753ACE"/>
    <w:rsid w:val="00755372"/>
    <w:rsid w:val="00760E42"/>
    <w:rsid w:val="007636A1"/>
    <w:rsid w:val="00763736"/>
    <w:rsid w:val="00771E48"/>
    <w:rsid w:val="00773BD1"/>
    <w:rsid w:val="0077563D"/>
    <w:rsid w:val="0077714B"/>
    <w:rsid w:val="00782583"/>
    <w:rsid w:val="007846EC"/>
    <w:rsid w:val="007860C7"/>
    <w:rsid w:val="007871F6"/>
    <w:rsid w:val="00790938"/>
    <w:rsid w:val="00791F99"/>
    <w:rsid w:val="007931CD"/>
    <w:rsid w:val="007A069C"/>
    <w:rsid w:val="007A0EF9"/>
    <w:rsid w:val="007A1144"/>
    <w:rsid w:val="007A1AF0"/>
    <w:rsid w:val="007A5845"/>
    <w:rsid w:val="007A7039"/>
    <w:rsid w:val="007C6D23"/>
    <w:rsid w:val="007E0EB9"/>
    <w:rsid w:val="007E4327"/>
    <w:rsid w:val="007E4D64"/>
    <w:rsid w:val="007E5773"/>
    <w:rsid w:val="007E6654"/>
    <w:rsid w:val="007F00AC"/>
    <w:rsid w:val="007F6619"/>
    <w:rsid w:val="00800405"/>
    <w:rsid w:val="00803AF5"/>
    <w:rsid w:val="00804629"/>
    <w:rsid w:val="008107C2"/>
    <w:rsid w:val="00810B3E"/>
    <w:rsid w:val="00812226"/>
    <w:rsid w:val="00820950"/>
    <w:rsid w:val="008227F6"/>
    <w:rsid w:val="0082339B"/>
    <w:rsid w:val="008278FF"/>
    <w:rsid w:val="008350A8"/>
    <w:rsid w:val="00843D60"/>
    <w:rsid w:val="0084488A"/>
    <w:rsid w:val="00844C4F"/>
    <w:rsid w:val="00844C66"/>
    <w:rsid w:val="00850D7E"/>
    <w:rsid w:val="00854D32"/>
    <w:rsid w:val="00861152"/>
    <w:rsid w:val="0086601C"/>
    <w:rsid w:val="00870A60"/>
    <w:rsid w:val="008730D8"/>
    <w:rsid w:val="00873211"/>
    <w:rsid w:val="008925F2"/>
    <w:rsid w:val="00893BFF"/>
    <w:rsid w:val="00894FE2"/>
    <w:rsid w:val="0089797D"/>
    <w:rsid w:val="008A3EC3"/>
    <w:rsid w:val="008C4602"/>
    <w:rsid w:val="008C5390"/>
    <w:rsid w:val="008C6ABA"/>
    <w:rsid w:val="008C6CE2"/>
    <w:rsid w:val="008C7CBC"/>
    <w:rsid w:val="008C7FF7"/>
    <w:rsid w:val="008D0385"/>
    <w:rsid w:val="008D4ED6"/>
    <w:rsid w:val="008D6BF6"/>
    <w:rsid w:val="008E082A"/>
    <w:rsid w:val="008E4220"/>
    <w:rsid w:val="008F0D45"/>
    <w:rsid w:val="008F57BC"/>
    <w:rsid w:val="00903519"/>
    <w:rsid w:val="009064CA"/>
    <w:rsid w:val="009158FC"/>
    <w:rsid w:val="00922280"/>
    <w:rsid w:val="0092345C"/>
    <w:rsid w:val="00930243"/>
    <w:rsid w:val="00940647"/>
    <w:rsid w:val="00941B5F"/>
    <w:rsid w:val="00941FC5"/>
    <w:rsid w:val="009442DE"/>
    <w:rsid w:val="009450E2"/>
    <w:rsid w:val="00945987"/>
    <w:rsid w:val="0094615A"/>
    <w:rsid w:val="00947A6A"/>
    <w:rsid w:val="00950E65"/>
    <w:rsid w:val="00952614"/>
    <w:rsid w:val="00952934"/>
    <w:rsid w:val="00952F79"/>
    <w:rsid w:val="009573C5"/>
    <w:rsid w:val="00962D8A"/>
    <w:rsid w:val="00962E4E"/>
    <w:rsid w:val="00963A82"/>
    <w:rsid w:val="00966FFA"/>
    <w:rsid w:val="00970799"/>
    <w:rsid w:val="00974967"/>
    <w:rsid w:val="00977C32"/>
    <w:rsid w:val="009866BD"/>
    <w:rsid w:val="009867F8"/>
    <w:rsid w:val="00986D8C"/>
    <w:rsid w:val="00986F3E"/>
    <w:rsid w:val="009871D0"/>
    <w:rsid w:val="0099123D"/>
    <w:rsid w:val="00993D5C"/>
    <w:rsid w:val="009953D4"/>
    <w:rsid w:val="00996664"/>
    <w:rsid w:val="009976F7"/>
    <w:rsid w:val="009A0B5E"/>
    <w:rsid w:val="009A1C2E"/>
    <w:rsid w:val="009A257B"/>
    <w:rsid w:val="009A28A1"/>
    <w:rsid w:val="009A5997"/>
    <w:rsid w:val="009B5FB2"/>
    <w:rsid w:val="009C1186"/>
    <w:rsid w:val="009C1DBF"/>
    <w:rsid w:val="009C410D"/>
    <w:rsid w:val="009D3576"/>
    <w:rsid w:val="009D4452"/>
    <w:rsid w:val="009D44B9"/>
    <w:rsid w:val="009D7E76"/>
    <w:rsid w:val="009E106A"/>
    <w:rsid w:val="009E2F8C"/>
    <w:rsid w:val="009F2414"/>
    <w:rsid w:val="009F6EEF"/>
    <w:rsid w:val="009F7BE1"/>
    <w:rsid w:val="00A019E9"/>
    <w:rsid w:val="00A03B33"/>
    <w:rsid w:val="00A0444E"/>
    <w:rsid w:val="00A05542"/>
    <w:rsid w:val="00A249E0"/>
    <w:rsid w:val="00A24D50"/>
    <w:rsid w:val="00A25047"/>
    <w:rsid w:val="00A259E2"/>
    <w:rsid w:val="00A27866"/>
    <w:rsid w:val="00A34D30"/>
    <w:rsid w:val="00A353E1"/>
    <w:rsid w:val="00A43E71"/>
    <w:rsid w:val="00A451B4"/>
    <w:rsid w:val="00A45761"/>
    <w:rsid w:val="00A47502"/>
    <w:rsid w:val="00A54624"/>
    <w:rsid w:val="00A55A51"/>
    <w:rsid w:val="00A56ACD"/>
    <w:rsid w:val="00A61969"/>
    <w:rsid w:val="00A64172"/>
    <w:rsid w:val="00A64D95"/>
    <w:rsid w:val="00A67CB7"/>
    <w:rsid w:val="00A76C84"/>
    <w:rsid w:val="00A81EB3"/>
    <w:rsid w:val="00A865DA"/>
    <w:rsid w:val="00A94EC3"/>
    <w:rsid w:val="00A960F6"/>
    <w:rsid w:val="00AA3866"/>
    <w:rsid w:val="00AA68ED"/>
    <w:rsid w:val="00AB19E5"/>
    <w:rsid w:val="00AB5371"/>
    <w:rsid w:val="00AB723F"/>
    <w:rsid w:val="00AC048B"/>
    <w:rsid w:val="00AC3D6E"/>
    <w:rsid w:val="00AD0038"/>
    <w:rsid w:val="00AD400A"/>
    <w:rsid w:val="00AE615C"/>
    <w:rsid w:val="00AF0885"/>
    <w:rsid w:val="00AF360F"/>
    <w:rsid w:val="00AF4D8C"/>
    <w:rsid w:val="00AF73C3"/>
    <w:rsid w:val="00B002CA"/>
    <w:rsid w:val="00B05F58"/>
    <w:rsid w:val="00B0689B"/>
    <w:rsid w:val="00B13E6F"/>
    <w:rsid w:val="00B2084A"/>
    <w:rsid w:val="00B208B9"/>
    <w:rsid w:val="00B24862"/>
    <w:rsid w:val="00B24918"/>
    <w:rsid w:val="00B24A4D"/>
    <w:rsid w:val="00B266C3"/>
    <w:rsid w:val="00B274D1"/>
    <w:rsid w:val="00B350A1"/>
    <w:rsid w:val="00B35905"/>
    <w:rsid w:val="00B43160"/>
    <w:rsid w:val="00B4397C"/>
    <w:rsid w:val="00B51BE5"/>
    <w:rsid w:val="00B520EC"/>
    <w:rsid w:val="00B54435"/>
    <w:rsid w:val="00B574EE"/>
    <w:rsid w:val="00B74014"/>
    <w:rsid w:val="00B76BC2"/>
    <w:rsid w:val="00B7721A"/>
    <w:rsid w:val="00B845D6"/>
    <w:rsid w:val="00B84A18"/>
    <w:rsid w:val="00B84A42"/>
    <w:rsid w:val="00B872DC"/>
    <w:rsid w:val="00B91E70"/>
    <w:rsid w:val="00B93A0C"/>
    <w:rsid w:val="00B94AA4"/>
    <w:rsid w:val="00BA1CA3"/>
    <w:rsid w:val="00BA35EE"/>
    <w:rsid w:val="00BA5DC7"/>
    <w:rsid w:val="00BB11B9"/>
    <w:rsid w:val="00BB3EBC"/>
    <w:rsid w:val="00BB46D5"/>
    <w:rsid w:val="00BB7D75"/>
    <w:rsid w:val="00BC0031"/>
    <w:rsid w:val="00BC6DFA"/>
    <w:rsid w:val="00BD4B40"/>
    <w:rsid w:val="00BD5E7C"/>
    <w:rsid w:val="00BD677D"/>
    <w:rsid w:val="00BE034B"/>
    <w:rsid w:val="00BE4D7C"/>
    <w:rsid w:val="00BF3C7A"/>
    <w:rsid w:val="00C0114F"/>
    <w:rsid w:val="00C015BC"/>
    <w:rsid w:val="00C020D5"/>
    <w:rsid w:val="00C06696"/>
    <w:rsid w:val="00C105B8"/>
    <w:rsid w:val="00C10AFB"/>
    <w:rsid w:val="00C11770"/>
    <w:rsid w:val="00C17154"/>
    <w:rsid w:val="00C21A3A"/>
    <w:rsid w:val="00C22560"/>
    <w:rsid w:val="00C240DA"/>
    <w:rsid w:val="00C27E86"/>
    <w:rsid w:val="00C36CD6"/>
    <w:rsid w:val="00C41207"/>
    <w:rsid w:val="00C41F16"/>
    <w:rsid w:val="00C43B7A"/>
    <w:rsid w:val="00C44C19"/>
    <w:rsid w:val="00C55373"/>
    <w:rsid w:val="00C6025C"/>
    <w:rsid w:val="00C61E5F"/>
    <w:rsid w:val="00C644CA"/>
    <w:rsid w:val="00C66B05"/>
    <w:rsid w:val="00C67D99"/>
    <w:rsid w:val="00C74272"/>
    <w:rsid w:val="00C75D98"/>
    <w:rsid w:val="00C76B81"/>
    <w:rsid w:val="00C83952"/>
    <w:rsid w:val="00C849A3"/>
    <w:rsid w:val="00C85EF3"/>
    <w:rsid w:val="00C8679B"/>
    <w:rsid w:val="00C8688E"/>
    <w:rsid w:val="00CA2978"/>
    <w:rsid w:val="00CA44C1"/>
    <w:rsid w:val="00CA7BFD"/>
    <w:rsid w:val="00CB692B"/>
    <w:rsid w:val="00CC3891"/>
    <w:rsid w:val="00CC641F"/>
    <w:rsid w:val="00CD1D65"/>
    <w:rsid w:val="00CE2B56"/>
    <w:rsid w:val="00CE4971"/>
    <w:rsid w:val="00CE674A"/>
    <w:rsid w:val="00CF3616"/>
    <w:rsid w:val="00CF58C0"/>
    <w:rsid w:val="00D005F7"/>
    <w:rsid w:val="00D0313B"/>
    <w:rsid w:val="00D05B9E"/>
    <w:rsid w:val="00D137B6"/>
    <w:rsid w:val="00D16975"/>
    <w:rsid w:val="00D25053"/>
    <w:rsid w:val="00D26286"/>
    <w:rsid w:val="00D30FE8"/>
    <w:rsid w:val="00D33E83"/>
    <w:rsid w:val="00D34E16"/>
    <w:rsid w:val="00D46D32"/>
    <w:rsid w:val="00D47F65"/>
    <w:rsid w:val="00D510FF"/>
    <w:rsid w:val="00D55BEE"/>
    <w:rsid w:val="00D56C7B"/>
    <w:rsid w:val="00D57781"/>
    <w:rsid w:val="00D62EA1"/>
    <w:rsid w:val="00D842CD"/>
    <w:rsid w:val="00D9421D"/>
    <w:rsid w:val="00D95EB0"/>
    <w:rsid w:val="00D96B9A"/>
    <w:rsid w:val="00DA6498"/>
    <w:rsid w:val="00DB1B8F"/>
    <w:rsid w:val="00DB41D8"/>
    <w:rsid w:val="00DB60B8"/>
    <w:rsid w:val="00DC134D"/>
    <w:rsid w:val="00DD41E6"/>
    <w:rsid w:val="00DD424E"/>
    <w:rsid w:val="00DD60D6"/>
    <w:rsid w:val="00DF043B"/>
    <w:rsid w:val="00DF0CD7"/>
    <w:rsid w:val="00E118EA"/>
    <w:rsid w:val="00E15E6B"/>
    <w:rsid w:val="00E1779F"/>
    <w:rsid w:val="00E17BC5"/>
    <w:rsid w:val="00E2335A"/>
    <w:rsid w:val="00E264B7"/>
    <w:rsid w:val="00E30C4F"/>
    <w:rsid w:val="00E31450"/>
    <w:rsid w:val="00E3634B"/>
    <w:rsid w:val="00E37496"/>
    <w:rsid w:val="00E41808"/>
    <w:rsid w:val="00E5398C"/>
    <w:rsid w:val="00E53C07"/>
    <w:rsid w:val="00E54C67"/>
    <w:rsid w:val="00E60A74"/>
    <w:rsid w:val="00E64A85"/>
    <w:rsid w:val="00E658EE"/>
    <w:rsid w:val="00E65B30"/>
    <w:rsid w:val="00E732B8"/>
    <w:rsid w:val="00E74DBC"/>
    <w:rsid w:val="00E75EC5"/>
    <w:rsid w:val="00E7779E"/>
    <w:rsid w:val="00E81A87"/>
    <w:rsid w:val="00E823EF"/>
    <w:rsid w:val="00E82822"/>
    <w:rsid w:val="00E82C7C"/>
    <w:rsid w:val="00E83648"/>
    <w:rsid w:val="00E8433C"/>
    <w:rsid w:val="00E85C3C"/>
    <w:rsid w:val="00E86345"/>
    <w:rsid w:val="00E919FB"/>
    <w:rsid w:val="00E93882"/>
    <w:rsid w:val="00EA3A69"/>
    <w:rsid w:val="00EA465A"/>
    <w:rsid w:val="00EB4D0C"/>
    <w:rsid w:val="00EB75D7"/>
    <w:rsid w:val="00EC5C85"/>
    <w:rsid w:val="00ED1230"/>
    <w:rsid w:val="00ED163E"/>
    <w:rsid w:val="00ED32AA"/>
    <w:rsid w:val="00ED407A"/>
    <w:rsid w:val="00ED5655"/>
    <w:rsid w:val="00ED6B53"/>
    <w:rsid w:val="00EE0818"/>
    <w:rsid w:val="00EE329B"/>
    <w:rsid w:val="00EE3512"/>
    <w:rsid w:val="00EE6773"/>
    <w:rsid w:val="00EE75EE"/>
    <w:rsid w:val="00EF159F"/>
    <w:rsid w:val="00EF225D"/>
    <w:rsid w:val="00EF3A71"/>
    <w:rsid w:val="00EF459E"/>
    <w:rsid w:val="00EF7928"/>
    <w:rsid w:val="00F01886"/>
    <w:rsid w:val="00F1303E"/>
    <w:rsid w:val="00F20A25"/>
    <w:rsid w:val="00F301CC"/>
    <w:rsid w:val="00F32544"/>
    <w:rsid w:val="00F32AE4"/>
    <w:rsid w:val="00F3621C"/>
    <w:rsid w:val="00F40405"/>
    <w:rsid w:val="00F41038"/>
    <w:rsid w:val="00F4354D"/>
    <w:rsid w:val="00F53C76"/>
    <w:rsid w:val="00F5499D"/>
    <w:rsid w:val="00F56DEF"/>
    <w:rsid w:val="00F61A41"/>
    <w:rsid w:val="00F6283A"/>
    <w:rsid w:val="00F630BA"/>
    <w:rsid w:val="00F6787D"/>
    <w:rsid w:val="00F67AA0"/>
    <w:rsid w:val="00F70504"/>
    <w:rsid w:val="00F723DF"/>
    <w:rsid w:val="00F76A51"/>
    <w:rsid w:val="00F8117D"/>
    <w:rsid w:val="00F84F5A"/>
    <w:rsid w:val="00F855E6"/>
    <w:rsid w:val="00F90B5C"/>
    <w:rsid w:val="00F93383"/>
    <w:rsid w:val="00F96DE2"/>
    <w:rsid w:val="00FB51A7"/>
    <w:rsid w:val="00FC0D3D"/>
    <w:rsid w:val="00FC12ED"/>
    <w:rsid w:val="00FD656A"/>
    <w:rsid w:val="00FE188F"/>
    <w:rsid w:val="00FE2E7F"/>
    <w:rsid w:val="00FE3C5E"/>
    <w:rsid w:val="00FE7DF7"/>
    <w:rsid w:val="00FF0E74"/>
    <w:rsid w:val="00FF7CD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93D"/>
    <w:rPr>
      <w:sz w:val="24"/>
      <w:szCs w:val="24"/>
    </w:rPr>
  </w:style>
  <w:style w:type="paragraph" w:styleId="Heading1">
    <w:name w:val="heading 1"/>
    <w:basedOn w:val="Normal"/>
    <w:next w:val="Normal"/>
    <w:qFormat/>
    <w:rsid w:val="0058493D"/>
    <w:pPr>
      <w:keepNext/>
      <w:jc w:val="center"/>
      <w:outlineLvl w:val="0"/>
    </w:pPr>
    <w:rPr>
      <w:b/>
      <w:bCs/>
      <w:sz w:val="22"/>
      <w:szCs w:val="22"/>
    </w:rPr>
  </w:style>
  <w:style w:type="paragraph" w:styleId="Heading3">
    <w:name w:val="heading 3"/>
    <w:basedOn w:val="Normal"/>
    <w:qFormat/>
    <w:rsid w:val="0058493D"/>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493D"/>
    <w:rPr>
      <w:rFonts w:ascii="Arial" w:hAnsi="Arial" w:cs="Arial"/>
      <w:sz w:val="18"/>
    </w:rPr>
  </w:style>
  <w:style w:type="paragraph" w:styleId="Caption">
    <w:name w:val="caption"/>
    <w:basedOn w:val="Normal"/>
    <w:next w:val="Normal"/>
    <w:qFormat/>
    <w:rsid w:val="0058493D"/>
    <w:pPr>
      <w:jc w:val="both"/>
    </w:pPr>
    <w:rPr>
      <w:b/>
      <w:bCs/>
    </w:rPr>
  </w:style>
  <w:style w:type="paragraph" w:styleId="BodyText2">
    <w:name w:val="Body Text 2"/>
    <w:basedOn w:val="Normal"/>
    <w:rsid w:val="0058493D"/>
    <w:pPr>
      <w:jc w:val="both"/>
    </w:pPr>
    <w:rPr>
      <w:b/>
      <w:bCs/>
    </w:rPr>
  </w:style>
  <w:style w:type="paragraph" w:styleId="Header">
    <w:name w:val="header"/>
    <w:basedOn w:val="Normal"/>
    <w:link w:val="HeaderChar"/>
    <w:rsid w:val="0058493D"/>
    <w:pPr>
      <w:tabs>
        <w:tab w:val="center" w:pos="4320"/>
        <w:tab w:val="right" w:pos="8640"/>
      </w:tabs>
    </w:pPr>
  </w:style>
  <w:style w:type="paragraph" w:styleId="Footer">
    <w:name w:val="footer"/>
    <w:basedOn w:val="Normal"/>
    <w:link w:val="FooterChar"/>
    <w:uiPriority w:val="99"/>
    <w:rsid w:val="0058493D"/>
    <w:pPr>
      <w:tabs>
        <w:tab w:val="center" w:pos="4320"/>
        <w:tab w:val="right" w:pos="8640"/>
      </w:tabs>
    </w:pPr>
  </w:style>
  <w:style w:type="paragraph" w:styleId="BodyText3">
    <w:name w:val="Body Text 3"/>
    <w:basedOn w:val="Normal"/>
    <w:rsid w:val="0058493D"/>
    <w:pPr>
      <w:jc w:val="both"/>
    </w:pPr>
    <w:rPr>
      <w:sz w:val="22"/>
    </w:rPr>
  </w:style>
  <w:style w:type="paragraph" w:styleId="BalloonText">
    <w:name w:val="Balloon Text"/>
    <w:basedOn w:val="Normal"/>
    <w:semiHidden/>
    <w:rsid w:val="0058493D"/>
    <w:rPr>
      <w:rFonts w:ascii="Tahoma" w:hAnsi="Tahoma" w:cs="Tahoma"/>
      <w:sz w:val="16"/>
      <w:szCs w:val="16"/>
    </w:rPr>
  </w:style>
  <w:style w:type="character" w:styleId="Strong">
    <w:name w:val="Strong"/>
    <w:qFormat/>
    <w:rsid w:val="0058493D"/>
    <w:rPr>
      <w:b/>
      <w:bCs/>
      <w:spacing w:val="0"/>
    </w:rPr>
  </w:style>
  <w:style w:type="character" w:customStyle="1" w:styleId="DeltaViewInsertion">
    <w:name w:val="DeltaView Insertion"/>
    <w:rsid w:val="0058493D"/>
    <w:rPr>
      <w:color w:val="0000FF"/>
      <w:spacing w:val="0"/>
      <w:u w:val="double"/>
    </w:rPr>
  </w:style>
  <w:style w:type="paragraph" w:styleId="BodyTextIndent3">
    <w:name w:val="Body Text Indent 3"/>
    <w:basedOn w:val="Normal"/>
    <w:rsid w:val="0058493D"/>
    <w:pPr>
      <w:widowControl w:val="0"/>
      <w:autoSpaceDE w:val="0"/>
      <w:autoSpaceDN w:val="0"/>
      <w:adjustRightInd w:val="0"/>
      <w:spacing w:after="240"/>
      <w:ind w:firstLine="1440"/>
    </w:pPr>
  </w:style>
  <w:style w:type="character" w:customStyle="1" w:styleId="zzmpTrailerItem">
    <w:name w:val="zzmpTrailerItem"/>
    <w:basedOn w:val="DefaultParagraphFont"/>
    <w:rsid w:val="00CE4971"/>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
    <w:name w:val="Body Text Indent"/>
    <w:basedOn w:val="Normal"/>
    <w:rsid w:val="0058493D"/>
    <w:pPr>
      <w:ind w:left="2160"/>
      <w:jc w:val="both"/>
    </w:pPr>
    <w:rPr>
      <w:bCs/>
      <w:color w:val="000000"/>
    </w:rPr>
  </w:style>
  <w:style w:type="paragraph" w:styleId="BodyTextIndent2">
    <w:name w:val="Body Text Indent 2"/>
    <w:basedOn w:val="Normal"/>
    <w:rsid w:val="0058493D"/>
    <w:pPr>
      <w:ind w:left="720"/>
    </w:pPr>
    <w:rPr>
      <w:rFonts w:ascii="Arial" w:hAnsi="Arial"/>
      <w:color w:val="000000"/>
      <w:sz w:val="22"/>
    </w:rPr>
  </w:style>
  <w:style w:type="paragraph" w:styleId="PlainText">
    <w:name w:val="Plain Text"/>
    <w:basedOn w:val="Normal"/>
    <w:rsid w:val="0058493D"/>
    <w:pPr>
      <w:spacing w:line="250" w:lineRule="exact"/>
    </w:pPr>
    <w:rPr>
      <w:rFonts w:ascii="Courier New" w:hAnsi="Courier New"/>
      <w:spacing w:val="-4"/>
    </w:rPr>
  </w:style>
  <w:style w:type="character" w:styleId="Emphasis">
    <w:name w:val="Emphasis"/>
    <w:qFormat/>
    <w:rsid w:val="0058493D"/>
    <w:rPr>
      <w:i/>
      <w:iCs/>
    </w:rPr>
  </w:style>
  <w:style w:type="character" w:styleId="Hyperlink">
    <w:name w:val="Hyperlink"/>
    <w:rsid w:val="0042627F"/>
    <w:rPr>
      <w:color w:val="0000FF"/>
      <w:u w:val="single"/>
    </w:rPr>
  </w:style>
  <w:style w:type="paragraph" w:styleId="NormalWeb">
    <w:name w:val="Normal (Web)"/>
    <w:basedOn w:val="Normal"/>
    <w:rsid w:val="0042627F"/>
    <w:pPr>
      <w:spacing w:before="100" w:beforeAutospacing="1" w:after="100" w:afterAutospacing="1"/>
    </w:pPr>
  </w:style>
  <w:style w:type="paragraph" w:styleId="ListParagraph">
    <w:name w:val="List Paragraph"/>
    <w:basedOn w:val="Normal"/>
    <w:uiPriority w:val="34"/>
    <w:qFormat/>
    <w:rsid w:val="00B94AA4"/>
    <w:pPr>
      <w:ind w:left="720"/>
    </w:pPr>
  </w:style>
  <w:style w:type="paragraph" w:customStyle="1" w:styleId="WP2L1">
    <w:name w:val="WP2_L1"/>
    <w:basedOn w:val="Normal"/>
    <w:next w:val="Normal"/>
    <w:rsid w:val="0046705D"/>
    <w:pPr>
      <w:keepNext/>
      <w:keepLines/>
      <w:numPr>
        <w:numId w:val="8"/>
      </w:numPr>
      <w:spacing w:after="240"/>
      <w:jc w:val="center"/>
      <w:outlineLvl w:val="0"/>
    </w:pPr>
    <w:rPr>
      <w:sz w:val="22"/>
      <w:szCs w:val="20"/>
    </w:rPr>
  </w:style>
  <w:style w:type="paragraph" w:customStyle="1" w:styleId="WP2L2">
    <w:name w:val="WP2_L2"/>
    <w:basedOn w:val="WP2L1"/>
    <w:next w:val="Normal"/>
    <w:rsid w:val="0046705D"/>
    <w:pPr>
      <w:keepNext w:val="0"/>
      <w:keepLines w:val="0"/>
      <w:numPr>
        <w:ilvl w:val="1"/>
      </w:numPr>
      <w:tabs>
        <w:tab w:val="clear" w:pos="1440"/>
        <w:tab w:val="num" w:pos="2700"/>
      </w:tabs>
      <w:ind w:left="2700" w:hanging="360"/>
      <w:jc w:val="left"/>
      <w:outlineLvl w:val="1"/>
    </w:pPr>
  </w:style>
  <w:style w:type="paragraph" w:customStyle="1" w:styleId="WP2L3">
    <w:name w:val="WP2_L3"/>
    <w:basedOn w:val="WP2L2"/>
    <w:next w:val="Normal"/>
    <w:rsid w:val="0046705D"/>
    <w:pPr>
      <w:numPr>
        <w:ilvl w:val="2"/>
      </w:numPr>
      <w:tabs>
        <w:tab w:val="clear" w:pos="2160"/>
        <w:tab w:val="num" w:pos="3420"/>
      </w:tabs>
      <w:ind w:left="3420" w:hanging="180"/>
      <w:outlineLvl w:val="2"/>
    </w:pPr>
  </w:style>
  <w:style w:type="paragraph" w:customStyle="1" w:styleId="WP2L4">
    <w:name w:val="WP2_L4"/>
    <w:basedOn w:val="WP2L3"/>
    <w:next w:val="Normal"/>
    <w:rsid w:val="0046705D"/>
    <w:pPr>
      <w:numPr>
        <w:ilvl w:val="3"/>
      </w:numPr>
      <w:outlineLvl w:val="3"/>
    </w:pPr>
  </w:style>
  <w:style w:type="paragraph" w:customStyle="1" w:styleId="WP2L5">
    <w:name w:val="WP2_L5"/>
    <w:basedOn w:val="WP2L4"/>
    <w:next w:val="Normal"/>
    <w:rsid w:val="0046705D"/>
    <w:pPr>
      <w:numPr>
        <w:ilvl w:val="4"/>
      </w:numPr>
      <w:tabs>
        <w:tab w:val="clear" w:pos="3600"/>
        <w:tab w:val="num" w:pos="4860"/>
      </w:tabs>
      <w:ind w:left="4860" w:hanging="360"/>
      <w:outlineLvl w:val="4"/>
    </w:pPr>
  </w:style>
  <w:style w:type="paragraph" w:customStyle="1" w:styleId="WP2L6">
    <w:name w:val="WP2_L6"/>
    <w:basedOn w:val="WP2L5"/>
    <w:next w:val="Normal"/>
    <w:rsid w:val="0046705D"/>
    <w:pPr>
      <w:numPr>
        <w:ilvl w:val="5"/>
      </w:numPr>
      <w:tabs>
        <w:tab w:val="clear" w:pos="720"/>
        <w:tab w:val="num" w:pos="5580"/>
      </w:tabs>
      <w:ind w:left="5580" w:hanging="180"/>
      <w:outlineLvl w:val="5"/>
    </w:pPr>
  </w:style>
  <w:style w:type="paragraph" w:customStyle="1" w:styleId="WP2L7">
    <w:name w:val="WP2_L7"/>
    <w:basedOn w:val="WP2L6"/>
    <w:next w:val="Normal"/>
    <w:rsid w:val="0046705D"/>
    <w:pPr>
      <w:numPr>
        <w:ilvl w:val="6"/>
      </w:numPr>
      <w:tabs>
        <w:tab w:val="clear" w:pos="1440"/>
        <w:tab w:val="num" w:pos="6300"/>
      </w:tabs>
      <w:ind w:left="6300" w:hanging="360"/>
      <w:outlineLvl w:val="6"/>
    </w:pPr>
  </w:style>
  <w:style w:type="paragraph" w:customStyle="1" w:styleId="WP2L8">
    <w:name w:val="WP2_L8"/>
    <w:basedOn w:val="WP2L7"/>
    <w:next w:val="Normal"/>
    <w:rsid w:val="0046705D"/>
    <w:pPr>
      <w:numPr>
        <w:ilvl w:val="7"/>
      </w:numPr>
      <w:tabs>
        <w:tab w:val="clear" w:pos="3600"/>
        <w:tab w:val="num" w:pos="7020"/>
      </w:tabs>
      <w:ind w:left="7020" w:hanging="360"/>
      <w:outlineLvl w:val="7"/>
    </w:pPr>
  </w:style>
  <w:style w:type="paragraph" w:customStyle="1" w:styleId="WP2L9">
    <w:name w:val="WP2_L9"/>
    <w:basedOn w:val="WP2L8"/>
    <w:next w:val="Normal"/>
    <w:rsid w:val="0046705D"/>
    <w:pPr>
      <w:numPr>
        <w:ilvl w:val="8"/>
      </w:numPr>
      <w:tabs>
        <w:tab w:val="clear" w:pos="4320"/>
        <w:tab w:val="num" w:pos="7740"/>
      </w:tabs>
      <w:ind w:left="7740" w:hanging="180"/>
      <w:outlineLvl w:val="8"/>
    </w:pPr>
  </w:style>
  <w:style w:type="paragraph" w:customStyle="1" w:styleId="OutHead2">
    <w:name w:val="OutHead2"/>
    <w:basedOn w:val="Normal"/>
    <w:next w:val="Normal"/>
    <w:uiPriority w:val="99"/>
    <w:rsid w:val="007846EC"/>
    <w:pPr>
      <w:numPr>
        <w:ilvl w:val="1"/>
        <w:numId w:val="10"/>
      </w:numPr>
      <w:spacing w:after="240"/>
      <w:jc w:val="both"/>
      <w:outlineLvl w:val="1"/>
    </w:pPr>
    <w:rPr>
      <w:color w:val="000000"/>
      <w:szCs w:val="20"/>
    </w:rPr>
  </w:style>
  <w:style w:type="paragraph" w:customStyle="1" w:styleId="OutHead3">
    <w:name w:val="OutHead3"/>
    <w:basedOn w:val="Normal"/>
    <w:next w:val="Normal"/>
    <w:uiPriority w:val="99"/>
    <w:rsid w:val="007846EC"/>
    <w:pPr>
      <w:numPr>
        <w:ilvl w:val="2"/>
        <w:numId w:val="10"/>
      </w:numPr>
      <w:spacing w:after="240"/>
      <w:jc w:val="both"/>
      <w:outlineLvl w:val="2"/>
    </w:pPr>
    <w:rPr>
      <w:rFonts w:ascii="Arial" w:hAnsi="Arial" w:cs="Arial"/>
      <w:color w:val="000000"/>
      <w:sz w:val="20"/>
      <w:szCs w:val="20"/>
    </w:rPr>
  </w:style>
  <w:style w:type="paragraph" w:customStyle="1" w:styleId="OutHead4">
    <w:name w:val="OutHead4"/>
    <w:basedOn w:val="Normal"/>
    <w:next w:val="Normal"/>
    <w:uiPriority w:val="99"/>
    <w:rsid w:val="007846EC"/>
    <w:pPr>
      <w:keepNext/>
      <w:numPr>
        <w:ilvl w:val="3"/>
        <w:numId w:val="10"/>
      </w:numPr>
      <w:spacing w:after="240"/>
      <w:outlineLvl w:val="3"/>
    </w:pPr>
    <w:rPr>
      <w:color w:val="000000"/>
      <w:szCs w:val="20"/>
    </w:rPr>
  </w:style>
  <w:style w:type="paragraph" w:customStyle="1" w:styleId="OutHead5">
    <w:name w:val="OutHead5"/>
    <w:basedOn w:val="Normal"/>
    <w:next w:val="Normal"/>
    <w:uiPriority w:val="99"/>
    <w:rsid w:val="007846EC"/>
    <w:pPr>
      <w:keepNext/>
      <w:numPr>
        <w:ilvl w:val="4"/>
        <w:numId w:val="10"/>
      </w:numPr>
      <w:spacing w:after="240"/>
      <w:outlineLvl w:val="4"/>
    </w:pPr>
    <w:rPr>
      <w:color w:val="000000"/>
      <w:szCs w:val="20"/>
    </w:rPr>
  </w:style>
  <w:style w:type="paragraph" w:customStyle="1" w:styleId="OutHead6">
    <w:name w:val="OutHead6"/>
    <w:basedOn w:val="Normal"/>
    <w:next w:val="Normal"/>
    <w:uiPriority w:val="99"/>
    <w:rsid w:val="007846EC"/>
    <w:pPr>
      <w:keepNext/>
      <w:numPr>
        <w:ilvl w:val="5"/>
        <w:numId w:val="10"/>
      </w:numPr>
      <w:spacing w:after="240"/>
      <w:outlineLvl w:val="5"/>
    </w:pPr>
    <w:rPr>
      <w:b/>
      <w:color w:val="000000"/>
      <w:szCs w:val="20"/>
    </w:rPr>
  </w:style>
  <w:style w:type="paragraph" w:customStyle="1" w:styleId="OutHead7">
    <w:name w:val="OutHead7"/>
    <w:basedOn w:val="Normal"/>
    <w:next w:val="Normal"/>
    <w:uiPriority w:val="99"/>
    <w:rsid w:val="007846EC"/>
    <w:pPr>
      <w:keepNext/>
      <w:numPr>
        <w:ilvl w:val="6"/>
        <w:numId w:val="10"/>
      </w:numPr>
      <w:spacing w:after="240"/>
      <w:outlineLvl w:val="6"/>
    </w:pPr>
    <w:rPr>
      <w:b/>
      <w:color w:val="000000"/>
      <w:szCs w:val="20"/>
    </w:rPr>
  </w:style>
  <w:style w:type="paragraph" w:customStyle="1" w:styleId="OutHead8">
    <w:name w:val="OutHead8"/>
    <w:basedOn w:val="Normal"/>
    <w:next w:val="Normal"/>
    <w:uiPriority w:val="99"/>
    <w:rsid w:val="007846EC"/>
    <w:pPr>
      <w:keepNext/>
      <w:numPr>
        <w:ilvl w:val="7"/>
        <w:numId w:val="10"/>
      </w:numPr>
      <w:spacing w:after="240"/>
      <w:outlineLvl w:val="7"/>
    </w:pPr>
    <w:rPr>
      <w:b/>
      <w:color w:val="000000"/>
      <w:szCs w:val="20"/>
    </w:rPr>
  </w:style>
  <w:style w:type="character" w:styleId="CommentReference">
    <w:name w:val="annotation reference"/>
    <w:semiHidden/>
    <w:rsid w:val="00584E34"/>
    <w:rPr>
      <w:sz w:val="16"/>
      <w:szCs w:val="16"/>
    </w:rPr>
  </w:style>
  <w:style w:type="paragraph" w:styleId="CommentText">
    <w:name w:val="annotation text"/>
    <w:basedOn w:val="Normal"/>
    <w:semiHidden/>
    <w:rsid w:val="00584E34"/>
    <w:rPr>
      <w:sz w:val="20"/>
      <w:szCs w:val="20"/>
    </w:rPr>
  </w:style>
  <w:style w:type="paragraph" w:styleId="CommentSubject">
    <w:name w:val="annotation subject"/>
    <w:basedOn w:val="CommentText"/>
    <w:next w:val="CommentText"/>
    <w:semiHidden/>
    <w:rsid w:val="00584E34"/>
    <w:rPr>
      <w:b/>
      <w:bCs/>
    </w:rPr>
  </w:style>
  <w:style w:type="paragraph" w:styleId="FootnoteText">
    <w:name w:val="footnote text"/>
    <w:basedOn w:val="Normal"/>
    <w:link w:val="FootnoteTextChar"/>
    <w:semiHidden/>
    <w:rsid w:val="00511DCA"/>
    <w:pPr>
      <w:spacing w:after="120"/>
    </w:pPr>
  </w:style>
  <w:style w:type="character" w:styleId="FootnoteReference">
    <w:name w:val="footnote reference"/>
    <w:aliases w:val="o"/>
    <w:semiHidden/>
    <w:rsid w:val="00511DCA"/>
    <w:rPr>
      <w:vertAlign w:val="superscript"/>
    </w:rPr>
  </w:style>
  <w:style w:type="character" w:customStyle="1" w:styleId="FootnoteTextChar">
    <w:name w:val="Footnote Text Char"/>
    <w:link w:val="FootnoteText"/>
    <w:semiHidden/>
    <w:locked/>
    <w:rsid w:val="00511DCA"/>
    <w:rPr>
      <w:sz w:val="24"/>
      <w:szCs w:val="24"/>
      <w:lang w:val="en-US" w:eastAsia="en-US" w:bidi="ar-SA"/>
    </w:rPr>
  </w:style>
  <w:style w:type="paragraph" w:customStyle="1" w:styleId="DWTNorm">
    <w:name w:val="DWTNorm"/>
    <w:basedOn w:val="Normal"/>
    <w:rsid w:val="007A1144"/>
    <w:pPr>
      <w:spacing w:after="240"/>
      <w:ind w:firstLine="720"/>
    </w:pPr>
    <w:rPr>
      <w:szCs w:val="20"/>
    </w:rPr>
  </w:style>
  <w:style w:type="paragraph" w:customStyle="1" w:styleId="ConfirmAppendixHeader">
    <w:name w:val="Confirm Appendix Header"/>
    <w:basedOn w:val="Normal"/>
    <w:rsid w:val="00691044"/>
    <w:pPr>
      <w:widowControl w:val="0"/>
      <w:autoSpaceDE w:val="0"/>
      <w:autoSpaceDN w:val="0"/>
      <w:adjustRightInd w:val="0"/>
      <w:jc w:val="center"/>
    </w:pPr>
    <w:rPr>
      <w:rFonts w:ascii="Arial" w:hAnsi="Arial" w:cs="Arial"/>
      <w:b/>
      <w:bCs/>
      <w:caps/>
      <w:sz w:val="20"/>
      <w:szCs w:val="20"/>
    </w:rPr>
  </w:style>
  <w:style w:type="character" w:customStyle="1" w:styleId="HeaderChar">
    <w:name w:val="Header Char"/>
    <w:basedOn w:val="DefaultParagraphFont"/>
    <w:link w:val="Header"/>
    <w:rsid w:val="00673FF5"/>
    <w:rPr>
      <w:sz w:val="24"/>
      <w:szCs w:val="24"/>
    </w:rPr>
  </w:style>
  <w:style w:type="character" w:customStyle="1" w:styleId="FooterChar">
    <w:name w:val="Footer Char"/>
    <w:basedOn w:val="DefaultParagraphFont"/>
    <w:link w:val="Footer"/>
    <w:uiPriority w:val="99"/>
    <w:rsid w:val="00673FF5"/>
    <w:rPr>
      <w:sz w:val="24"/>
      <w:szCs w:val="24"/>
    </w:rPr>
  </w:style>
</w:styles>
</file>

<file path=word/webSettings.xml><?xml version="1.0" encoding="utf-8"?>
<w:webSettings xmlns:r="http://schemas.openxmlformats.org/officeDocument/2006/relationships" xmlns:w="http://schemas.openxmlformats.org/wordprocessingml/2006/main">
  <w:divs>
    <w:div w:id="13774840">
      <w:bodyDiv w:val="1"/>
      <w:marLeft w:val="0"/>
      <w:marRight w:val="0"/>
      <w:marTop w:val="0"/>
      <w:marBottom w:val="0"/>
      <w:divBdr>
        <w:top w:val="none" w:sz="0" w:space="0" w:color="auto"/>
        <w:left w:val="none" w:sz="0" w:space="0" w:color="auto"/>
        <w:bottom w:val="none" w:sz="0" w:space="0" w:color="auto"/>
        <w:right w:val="none" w:sz="0" w:space="0" w:color="auto"/>
      </w:divBdr>
    </w:div>
    <w:div w:id="305739359">
      <w:bodyDiv w:val="1"/>
      <w:marLeft w:val="0"/>
      <w:marRight w:val="0"/>
      <w:marTop w:val="0"/>
      <w:marBottom w:val="0"/>
      <w:divBdr>
        <w:top w:val="none" w:sz="0" w:space="0" w:color="auto"/>
        <w:left w:val="none" w:sz="0" w:space="0" w:color="auto"/>
        <w:bottom w:val="none" w:sz="0" w:space="0" w:color="auto"/>
        <w:right w:val="none" w:sz="0" w:space="0" w:color="auto"/>
      </w:divBdr>
      <w:divsChild>
        <w:div w:id="174850110">
          <w:marLeft w:val="0"/>
          <w:marRight w:val="0"/>
          <w:marTop w:val="0"/>
          <w:marBottom w:val="0"/>
          <w:divBdr>
            <w:top w:val="none" w:sz="0" w:space="0" w:color="auto"/>
            <w:left w:val="none" w:sz="0" w:space="0" w:color="auto"/>
            <w:bottom w:val="none" w:sz="0" w:space="0" w:color="auto"/>
            <w:right w:val="none" w:sz="0" w:space="0" w:color="auto"/>
          </w:divBdr>
        </w:div>
        <w:div w:id="291792338">
          <w:marLeft w:val="0"/>
          <w:marRight w:val="0"/>
          <w:marTop w:val="0"/>
          <w:marBottom w:val="0"/>
          <w:divBdr>
            <w:top w:val="none" w:sz="0" w:space="0" w:color="auto"/>
            <w:left w:val="none" w:sz="0" w:space="0" w:color="auto"/>
            <w:bottom w:val="none" w:sz="0" w:space="0" w:color="auto"/>
            <w:right w:val="none" w:sz="0" w:space="0" w:color="auto"/>
          </w:divBdr>
        </w:div>
        <w:div w:id="493306184">
          <w:marLeft w:val="0"/>
          <w:marRight w:val="0"/>
          <w:marTop w:val="0"/>
          <w:marBottom w:val="0"/>
          <w:divBdr>
            <w:top w:val="none" w:sz="0" w:space="0" w:color="auto"/>
            <w:left w:val="none" w:sz="0" w:space="0" w:color="auto"/>
            <w:bottom w:val="none" w:sz="0" w:space="0" w:color="auto"/>
            <w:right w:val="none" w:sz="0" w:space="0" w:color="auto"/>
          </w:divBdr>
        </w:div>
        <w:div w:id="582180439">
          <w:marLeft w:val="0"/>
          <w:marRight w:val="0"/>
          <w:marTop w:val="0"/>
          <w:marBottom w:val="0"/>
          <w:divBdr>
            <w:top w:val="none" w:sz="0" w:space="0" w:color="auto"/>
            <w:left w:val="none" w:sz="0" w:space="0" w:color="auto"/>
            <w:bottom w:val="none" w:sz="0" w:space="0" w:color="auto"/>
            <w:right w:val="none" w:sz="0" w:space="0" w:color="auto"/>
          </w:divBdr>
        </w:div>
        <w:div w:id="767236216">
          <w:marLeft w:val="0"/>
          <w:marRight w:val="0"/>
          <w:marTop w:val="0"/>
          <w:marBottom w:val="0"/>
          <w:divBdr>
            <w:top w:val="none" w:sz="0" w:space="0" w:color="auto"/>
            <w:left w:val="none" w:sz="0" w:space="0" w:color="auto"/>
            <w:bottom w:val="none" w:sz="0" w:space="0" w:color="auto"/>
            <w:right w:val="none" w:sz="0" w:space="0" w:color="auto"/>
          </w:divBdr>
        </w:div>
        <w:div w:id="930889163">
          <w:marLeft w:val="0"/>
          <w:marRight w:val="0"/>
          <w:marTop w:val="0"/>
          <w:marBottom w:val="0"/>
          <w:divBdr>
            <w:top w:val="none" w:sz="0" w:space="0" w:color="auto"/>
            <w:left w:val="none" w:sz="0" w:space="0" w:color="auto"/>
            <w:bottom w:val="none" w:sz="0" w:space="0" w:color="auto"/>
            <w:right w:val="none" w:sz="0" w:space="0" w:color="auto"/>
          </w:divBdr>
        </w:div>
        <w:div w:id="1009716396">
          <w:marLeft w:val="0"/>
          <w:marRight w:val="0"/>
          <w:marTop w:val="0"/>
          <w:marBottom w:val="0"/>
          <w:divBdr>
            <w:top w:val="none" w:sz="0" w:space="0" w:color="auto"/>
            <w:left w:val="none" w:sz="0" w:space="0" w:color="auto"/>
            <w:bottom w:val="none" w:sz="0" w:space="0" w:color="auto"/>
            <w:right w:val="none" w:sz="0" w:space="0" w:color="auto"/>
          </w:divBdr>
        </w:div>
        <w:div w:id="1102337250">
          <w:marLeft w:val="0"/>
          <w:marRight w:val="0"/>
          <w:marTop w:val="0"/>
          <w:marBottom w:val="0"/>
          <w:divBdr>
            <w:top w:val="none" w:sz="0" w:space="0" w:color="auto"/>
            <w:left w:val="none" w:sz="0" w:space="0" w:color="auto"/>
            <w:bottom w:val="none" w:sz="0" w:space="0" w:color="auto"/>
            <w:right w:val="none" w:sz="0" w:space="0" w:color="auto"/>
          </w:divBdr>
        </w:div>
        <w:div w:id="1131441135">
          <w:marLeft w:val="0"/>
          <w:marRight w:val="0"/>
          <w:marTop w:val="0"/>
          <w:marBottom w:val="0"/>
          <w:divBdr>
            <w:top w:val="none" w:sz="0" w:space="0" w:color="auto"/>
            <w:left w:val="none" w:sz="0" w:space="0" w:color="auto"/>
            <w:bottom w:val="none" w:sz="0" w:space="0" w:color="auto"/>
            <w:right w:val="none" w:sz="0" w:space="0" w:color="auto"/>
          </w:divBdr>
        </w:div>
        <w:div w:id="1248542759">
          <w:marLeft w:val="0"/>
          <w:marRight w:val="0"/>
          <w:marTop w:val="0"/>
          <w:marBottom w:val="0"/>
          <w:divBdr>
            <w:top w:val="none" w:sz="0" w:space="0" w:color="auto"/>
            <w:left w:val="none" w:sz="0" w:space="0" w:color="auto"/>
            <w:bottom w:val="none" w:sz="0" w:space="0" w:color="auto"/>
            <w:right w:val="none" w:sz="0" w:space="0" w:color="auto"/>
          </w:divBdr>
        </w:div>
        <w:div w:id="1265042946">
          <w:marLeft w:val="0"/>
          <w:marRight w:val="0"/>
          <w:marTop w:val="0"/>
          <w:marBottom w:val="0"/>
          <w:divBdr>
            <w:top w:val="none" w:sz="0" w:space="0" w:color="auto"/>
            <w:left w:val="none" w:sz="0" w:space="0" w:color="auto"/>
            <w:bottom w:val="none" w:sz="0" w:space="0" w:color="auto"/>
            <w:right w:val="none" w:sz="0" w:space="0" w:color="auto"/>
          </w:divBdr>
          <w:divsChild>
            <w:div w:id="1012491197">
              <w:marLeft w:val="0"/>
              <w:marRight w:val="0"/>
              <w:marTop w:val="0"/>
              <w:marBottom w:val="0"/>
              <w:divBdr>
                <w:top w:val="none" w:sz="0" w:space="0" w:color="auto"/>
                <w:left w:val="none" w:sz="0" w:space="0" w:color="auto"/>
                <w:bottom w:val="none" w:sz="0" w:space="0" w:color="auto"/>
                <w:right w:val="none" w:sz="0" w:space="0" w:color="auto"/>
              </w:divBdr>
              <w:divsChild>
                <w:div w:id="12676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9185">
          <w:marLeft w:val="0"/>
          <w:marRight w:val="0"/>
          <w:marTop w:val="0"/>
          <w:marBottom w:val="0"/>
          <w:divBdr>
            <w:top w:val="none" w:sz="0" w:space="0" w:color="auto"/>
            <w:left w:val="none" w:sz="0" w:space="0" w:color="auto"/>
            <w:bottom w:val="none" w:sz="0" w:space="0" w:color="auto"/>
            <w:right w:val="none" w:sz="0" w:space="0" w:color="auto"/>
          </w:divBdr>
        </w:div>
        <w:div w:id="1323387460">
          <w:marLeft w:val="0"/>
          <w:marRight w:val="0"/>
          <w:marTop w:val="0"/>
          <w:marBottom w:val="0"/>
          <w:divBdr>
            <w:top w:val="none" w:sz="0" w:space="0" w:color="auto"/>
            <w:left w:val="none" w:sz="0" w:space="0" w:color="auto"/>
            <w:bottom w:val="none" w:sz="0" w:space="0" w:color="auto"/>
            <w:right w:val="none" w:sz="0" w:space="0" w:color="auto"/>
          </w:divBdr>
        </w:div>
        <w:div w:id="1848248559">
          <w:marLeft w:val="0"/>
          <w:marRight w:val="0"/>
          <w:marTop w:val="0"/>
          <w:marBottom w:val="0"/>
          <w:divBdr>
            <w:top w:val="none" w:sz="0" w:space="0" w:color="auto"/>
            <w:left w:val="none" w:sz="0" w:space="0" w:color="auto"/>
            <w:bottom w:val="none" w:sz="0" w:space="0" w:color="auto"/>
            <w:right w:val="none" w:sz="0" w:space="0" w:color="auto"/>
          </w:divBdr>
        </w:div>
      </w:divsChild>
    </w:div>
    <w:div w:id="14289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oter" Target="footer4.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5" Type="http://schemas.openxmlformats.org/officeDocument/2006/relationships/theme" Target="theme/theme1.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3085</Words>
  <Characters>16729</Characters>
  <Application>Microsoft Office Word</Application>
  <DocSecurity>0</DocSecurity>
  <Lines>598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gFAA5ajW4yTOEjtamtb7r3/QXIQOmozGlZsFwJRNLgt0Uu1eZfzIr+nkvRRGKXdLcuf6ZNnW7Zo7i3uq_x000d_
9BjpSK8cooYkmOX7FuQAXH18CkGJS/dUFZdHEe6L8WeF6LX/ACJvcRze/4wqQB6q9BjpSK8cooYk_x000d_
mOX7FuQAXH18CkGJS/dUFZdHEe6L8S/YhQbWCvzEWU2dDTOyfVIQr5uliz93yVH20pD/dI5WYXgQ_x000d_
FaRHDBAPeNXtaFDMH</vt:lpwstr>
  </property>
  <property fmtid="{D5CDD505-2E9C-101B-9397-08002B2CF9AE}" pid="3" name="MAIL_MSG_ID2">
    <vt:lpwstr>6SdasLn2n4iN5RmhrrortKw2PTOGkS72JrEhbrNEK4mXeq0WMlFkQlgmtWR_x000d_
8JopqUXVVibxWtXS63Da+dGGyqHuxrRnHCjn6A==</vt:lpwstr>
  </property>
  <property fmtid="{D5CDD505-2E9C-101B-9397-08002B2CF9AE}" pid="4" name="RESPONSE_SENDER_NAME">
    <vt:lpwstr>gAAAFrATEITNPljMPruRURaR30tjxmv3vTkD</vt:lpwstr>
  </property>
  <property fmtid="{D5CDD505-2E9C-101B-9397-08002B2CF9AE}" pid="5" name="EMAIL_OWNER_ADDRESS">
    <vt:lpwstr>ABAAdnH19QYq2YXA5Dr8BVKY6J6E0BAm+WLZ5KYbg6TlGUX/eSdBfOA2HpiAfDk/dHST</vt:lpwstr>
  </property>
</Properties>
</file>